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0"/>
        <w:jc w:val="center"/>
        <w:rPr>
          <w:rFonts w:ascii="方正小标宋_GBK" w:eastAsia="方正小标宋_GBK"/>
          <w:sz w:val="44"/>
          <w:szCs w:val="44"/>
          <w:shd w:val="clear" w:color="auto" w:fill="auto"/>
        </w:rPr>
      </w:pPr>
      <w:r>
        <w:rPr>
          <w:rFonts w:ascii="方正小标宋_GBK" w:eastAsia="方正小标宋_GBK" w:hint="eastAsia"/>
          <w:sz w:val="44"/>
          <w:szCs w:val="44"/>
          <w:shd w:val="clear" w:color="auto" w:fill="auto"/>
        </w:rPr>
        <w:t>满洲里海关主动公开基本目录（202</w:t>
      </w:r>
      <w:r>
        <w:rPr>
          <w:rFonts w:ascii="方正小标宋_GBK" w:eastAsia="方正小标宋_GBK"/>
          <w:sz w:val="44"/>
          <w:szCs w:val="44"/>
          <w:shd w:val="clear" w:color="auto" w:fill="auto"/>
        </w:rPr>
        <w:t>6</w:t>
      </w:r>
      <w:r>
        <w:rPr>
          <w:rFonts w:ascii="方正小标宋_GBK" w:eastAsia="方正小标宋_GBK" w:hint="eastAsia"/>
          <w:sz w:val="44"/>
          <w:szCs w:val="44"/>
          <w:shd w:val="clear" w:color="auto" w:fill="auto"/>
        </w:rPr>
        <w:t>）</w:t>
      </w:r>
      <w:r>
        <w:rPr>
          <w:rStyle w:val="17"/>
          <w:rFonts w:ascii="方正仿宋_GBK" w:eastAsia="方正仿宋_GBK" w:hint="eastAsia"/>
          <w:b w:val="0"/>
          <w:bCs w:val="0"/>
          <w:i w:val="0"/>
          <w:iCs w:val="0"/>
          <w:caps w:val="0"/>
          <w:smallCaps w:val="0"/>
          <w:vanish w:val="0"/>
          <w:color w:val="222222"/>
          <w:spacing w:val="0"/>
          <w:sz w:val="32"/>
          <w:szCs w:val="32"/>
        </w:rPr>
        <w:t>　</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0"/>
        <w:jc w:val="center"/>
        <w:rPr>
          <w:rStyle w:val="17"/>
          <w:rFonts w:ascii="方正仿宋_GBK" w:eastAsia="方正仿宋_GBK" w:hint="eastAsia"/>
          <w:b w:val="0"/>
          <w:bCs w:val="0"/>
          <w:i w:val="0"/>
          <w:iCs w:val="0"/>
          <w:caps w:val="0"/>
          <w:smallCaps w:val="0"/>
          <w:vanish w:val="0"/>
          <w:color w:val="222222"/>
          <w:spacing w:val="0"/>
          <w:sz w:val="32"/>
          <w:szCs w:val="32"/>
        </w:rPr>
      </w:pPr>
    </w:p>
    <w:p>
      <w:pPr>
        <w:autoSpaceDN w:val="0"/>
        <w:rPr>
          <w:rFonts w:ascii="Times New Roman" w:eastAsia="方正黑体_GBK" w:hAnsi="Times New Roman" w:hint="eastAsia"/>
          <w:bCs/>
          <w:sz w:val="32"/>
          <w:szCs w:val="32"/>
          <w:shd w:val="clear" w:color="auto" w:fill="auto"/>
        </w:rPr>
      </w:pPr>
      <w:r>
        <w:rPr>
          <w:rFonts w:ascii="方正仿宋_GBK" w:eastAsia="方正仿宋_GBK" w:hint="eastAsia"/>
          <w:sz w:val="32"/>
          <w:szCs w:val="32"/>
          <w:shd w:val="clear" w:color="auto" w:fill="auto"/>
        </w:rPr>
        <w:t>　　</w:t>
      </w:r>
      <w:r>
        <w:rPr>
          <w:rStyle w:val="0"/>
          <w:rFonts w:ascii="Times New Roman" w:eastAsia="方正黑体_GBK" w:hAnsi="Times New Roman" w:hint="eastAsia"/>
          <w:bCs/>
          <w:sz w:val="32"/>
          <w:szCs w:val="32"/>
          <w:shd w:val="clear" w:color="auto" w:fill="auto"/>
        </w:rPr>
        <w:t>一、概述</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0"/>
        <w:rPr>
          <w:rFonts w:ascii="Times New Roman" w:eastAsia="方正仿宋_GBK" w:hAnsi="Times New Roman"/>
          <w:sz w:val="32"/>
          <w:szCs w:val="32"/>
          <w:shd w:val="clear" w:color="auto" w:fill="auto"/>
        </w:rPr>
      </w:pPr>
      <w:r>
        <w:rPr>
          <w:rFonts w:ascii="方正仿宋_GBK" w:eastAsia="方正仿宋_GBK" w:hint="eastAsia"/>
          <w:sz w:val="32"/>
          <w:szCs w:val="32"/>
          <w:shd w:val="clear" w:color="auto" w:fill="auto"/>
        </w:rPr>
        <w:t>　　</w:t>
      </w:r>
      <w:r>
        <w:rPr>
          <w:rFonts w:ascii="Times New Roman" w:eastAsia="方正仿宋_GBK" w:hAnsi="Times New Roman"/>
          <w:sz w:val="32"/>
          <w:szCs w:val="32"/>
          <w:shd w:val="clear" w:color="auto" w:fill="auto"/>
        </w:rPr>
        <w:t>为认真贯彻落实《中华人民共和国政府信息公开条例》（以下简称《条例》）有关要求，进一步提高满洲里海关本级机关政府信息主动公开的标准化、规范化水平，参照《海关总署主动公开基本目录》制订本目录。凡列入目录的事项，除《条例》第十四条、第十五条、第十六条规定可不予公开的政府信息外，均应按要求主动公开并及时更新。</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0"/>
        <w:rPr>
          <w:rFonts w:ascii="Times New Roman" w:eastAsia="方正仿宋_GBK" w:hAnsi="Times New Roman"/>
          <w:sz w:val="32"/>
          <w:szCs w:val="32"/>
          <w:shd w:val="clear" w:color="auto" w:fill="auto"/>
        </w:rPr>
      </w:pPr>
      <w:r>
        <w:rPr>
          <w:rStyle w:val="0"/>
          <w:rFonts w:ascii="Times New Roman" w:eastAsia="方正仿宋_GBK" w:hAnsi="Times New Roman"/>
          <w:sz w:val="32"/>
          <w:szCs w:val="32"/>
          <w:shd w:val="clear" w:color="auto" w:fill="auto"/>
        </w:rPr>
        <w:t>　　（一）公开事项和内容</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0"/>
        <w:rPr>
          <w:rFonts w:ascii="Times New Roman" w:eastAsia="方正仿宋_GBK" w:hAnsi="Times New Roman"/>
          <w:sz w:val="32"/>
          <w:szCs w:val="32"/>
          <w:shd w:val="clear" w:color="auto" w:fill="auto"/>
        </w:rPr>
      </w:pPr>
      <w:r>
        <w:rPr>
          <w:rFonts w:ascii="Times New Roman" w:eastAsia="方正仿宋_GBK" w:hAnsi="Times New Roman"/>
          <w:sz w:val="32"/>
          <w:szCs w:val="32"/>
          <w:shd w:val="clear" w:color="auto" w:fill="auto"/>
        </w:rPr>
        <w:t>　　重点公开：机构信息、规范性文件、计划总结、海关统计、行政审批事项、行政执法事项、其他对外管理服务事项、财务信息、企业管理、综合管理以及其他依法应当主动公开的海关政府信息等11类、30项内容。</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0"/>
        <w:rPr>
          <w:rFonts w:ascii="Times New Roman" w:eastAsia="方正仿宋_GBK" w:hAnsi="Times New Roman"/>
          <w:sz w:val="32"/>
          <w:szCs w:val="32"/>
          <w:shd w:val="clear" w:color="auto" w:fill="auto"/>
        </w:rPr>
      </w:pPr>
      <w:r>
        <w:rPr>
          <w:rFonts w:ascii="Times New Roman" w:eastAsia="方正仿宋_GBK" w:hAnsi="Times New Roman"/>
          <w:sz w:val="32"/>
          <w:szCs w:val="32"/>
          <w:shd w:val="clear" w:color="auto" w:fill="auto"/>
        </w:rPr>
        <w:t>　　我关将按照相关法律法规要求，定期对目录事项进行梳理，及时调整和不断增加公开内容。</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0"/>
        <w:rPr>
          <w:rFonts w:ascii="Times New Roman" w:eastAsia="方正仿宋_GBK" w:hAnsi="Times New Roman"/>
          <w:sz w:val="32"/>
          <w:szCs w:val="32"/>
          <w:shd w:val="clear" w:color="auto" w:fill="auto"/>
        </w:rPr>
      </w:pPr>
      <w:r>
        <w:rPr>
          <w:rStyle w:val="0"/>
          <w:rFonts w:ascii="Times New Roman" w:eastAsia="方正仿宋_GBK" w:hAnsi="Times New Roman"/>
          <w:sz w:val="32"/>
          <w:szCs w:val="32"/>
          <w:shd w:val="clear" w:color="auto" w:fill="auto"/>
        </w:rPr>
        <w:t>　　（二）公开时限</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0"/>
        <w:rPr>
          <w:rFonts w:ascii="Times New Roman" w:eastAsia="方正仿宋_GBK" w:hAnsi="Times New Roman"/>
          <w:sz w:val="32"/>
          <w:szCs w:val="32"/>
          <w:shd w:val="clear" w:color="auto" w:fill="auto"/>
        </w:rPr>
      </w:pPr>
      <w:r>
        <w:rPr>
          <w:rFonts w:ascii="Times New Roman" w:eastAsia="方正仿宋_GBK" w:hAnsi="Times New Roman"/>
          <w:sz w:val="32"/>
          <w:szCs w:val="32"/>
          <w:shd w:val="clear" w:color="auto" w:fill="auto"/>
        </w:rPr>
        <w:t>　　公开时限为自相关信息形成或变更之日起20个工作日内。法律、法规对公开期限另有特殊规定的，从其规定。</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0"/>
        <w:rPr>
          <w:rFonts w:ascii="Times New Roman" w:eastAsia="方正仿宋_GBK" w:hAnsi="Times New Roman"/>
          <w:sz w:val="32"/>
          <w:szCs w:val="32"/>
          <w:shd w:val="clear" w:color="auto" w:fill="auto"/>
        </w:rPr>
      </w:pPr>
      <w:r>
        <w:rPr>
          <w:rStyle w:val="0"/>
          <w:rFonts w:ascii="Times New Roman" w:eastAsia="方正仿宋_GBK" w:hAnsi="Times New Roman"/>
          <w:sz w:val="32"/>
          <w:szCs w:val="32"/>
          <w:shd w:val="clear" w:color="auto" w:fill="auto"/>
        </w:rPr>
        <w:t>　　（三）公开方式</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0"/>
        <w:rPr>
          <w:rFonts w:ascii="Times New Roman" w:eastAsia="方正仿宋_GBK" w:hAnsi="Times New Roman"/>
          <w:sz w:val="32"/>
          <w:szCs w:val="32"/>
          <w:shd w:val="clear" w:color="auto" w:fill="auto"/>
        </w:rPr>
      </w:pPr>
      <w:r>
        <w:rPr>
          <w:rFonts w:ascii="Times New Roman" w:eastAsia="方正仿宋_GBK" w:hAnsi="Times New Roman"/>
          <w:sz w:val="32"/>
          <w:szCs w:val="32"/>
          <w:shd w:val="clear" w:color="auto" w:fill="auto"/>
        </w:rPr>
        <w:t>　　满洲里海关门户网站（http://manzhouli.customs.gov.cn/）“政府信息公开专栏”是我关政府信息公开的主要平台，集中、统一发布我关主动公开的政府信息。</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0"/>
        <w:rPr>
          <w:rFonts w:ascii="Times New Roman" w:eastAsia="方正仿宋_GBK" w:hAnsi="Times New Roman"/>
          <w:sz w:val="32"/>
          <w:szCs w:val="32"/>
          <w:shd w:val="clear" w:color="auto" w:fill="auto"/>
        </w:rPr>
      </w:pPr>
      <w:r>
        <w:rPr>
          <w:rFonts w:ascii="Times New Roman" w:eastAsia="方正仿宋_GBK" w:hAnsi="Times New Roman"/>
          <w:sz w:val="32"/>
          <w:szCs w:val="32"/>
          <w:shd w:val="clear" w:color="auto" w:fill="auto"/>
        </w:rPr>
        <w:t>　　根据实际情况，我关还将通过新闻发布会、官方政务媒体（“满关发布”微信公众号）、报刊、广播、电视等途径进行主动公开。</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0"/>
        <w:rPr>
          <w:rFonts w:ascii="Times New Roman" w:eastAsia="方正仿宋_GBK" w:hAnsi="Times New Roman"/>
          <w:sz w:val="32"/>
          <w:szCs w:val="32"/>
          <w:shd w:val="clear" w:color="auto" w:fill="auto"/>
        </w:rPr>
      </w:pPr>
      <w:r>
        <w:rPr>
          <w:rStyle w:val="0"/>
          <w:rFonts w:ascii="Times New Roman" w:eastAsia="方正仿宋_GBK" w:hAnsi="Times New Roman"/>
          <w:sz w:val="32"/>
          <w:szCs w:val="32"/>
          <w:shd w:val="clear" w:color="auto" w:fill="auto"/>
        </w:rPr>
        <w:t>　　（四）责任主体</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0"/>
        <w:rPr>
          <w:rFonts w:ascii="Times New Roman" w:eastAsia="方正仿宋_GBK" w:hAnsi="Times New Roman"/>
          <w:sz w:val="32"/>
          <w:szCs w:val="32"/>
          <w:shd w:val="clear" w:color="auto" w:fill="auto"/>
        </w:rPr>
      </w:pPr>
      <w:r>
        <w:rPr>
          <w:rFonts w:ascii="Times New Roman" w:eastAsia="方正仿宋_GBK" w:hAnsi="Times New Roman"/>
          <w:sz w:val="32"/>
          <w:szCs w:val="32"/>
          <w:shd w:val="clear" w:color="auto" w:fill="auto"/>
        </w:rPr>
        <w:t>　　办公室牵头，各部门根据责任分工分别负责（详见基本目录“责任部门”列）。</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0"/>
        <w:rPr>
          <w:rFonts w:ascii="Times New Roman" w:eastAsia="方正仿宋_GBK" w:hAnsi="Times New Roman"/>
          <w:sz w:val="32"/>
          <w:szCs w:val="32"/>
          <w:shd w:val="clear" w:color="auto" w:fill="auto"/>
        </w:rPr>
      </w:pPr>
      <w:r>
        <w:rPr>
          <w:rStyle w:val="0"/>
          <w:rFonts w:ascii="Times New Roman" w:eastAsia="方正仿宋_GBK" w:hAnsi="Times New Roman"/>
          <w:sz w:val="32"/>
          <w:szCs w:val="32"/>
          <w:shd w:val="clear" w:color="auto" w:fill="auto"/>
        </w:rPr>
        <w:t>　　（五）监督渠道</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0"/>
        <w:rPr>
          <w:rFonts w:ascii="Times New Roman" w:eastAsia="方正仿宋_GBK" w:hAnsi="Times New Roman"/>
          <w:sz w:val="32"/>
          <w:szCs w:val="32"/>
          <w:shd w:val="clear" w:color="auto" w:fill="auto"/>
        </w:rPr>
      </w:pPr>
      <w:r>
        <w:rPr>
          <w:rFonts w:ascii="Times New Roman" w:eastAsia="方正仿宋_GBK" w:hAnsi="Times New Roman"/>
          <w:sz w:val="32"/>
          <w:szCs w:val="32"/>
          <w:shd w:val="clear" w:color="auto" w:fill="auto"/>
        </w:rPr>
        <w:t>　　办公室负责受理公民、法人和其他组织对我关政府信息主动公开工作的意见和建议。</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0"/>
        <w:rPr>
          <w:rFonts w:ascii="Times New Roman" w:eastAsia="方正仿宋_GBK" w:hAnsi="Times New Roman"/>
          <w:sz w:val="32"/>
          <w:szCs w:val="32"/>
          <w:shd w:val="clear" w:color="auto" w:fill="auto"/>
        </w:rPr>
      </w:pPr>
      <w:r>
        <w:rPr>
          <w:rFonts w:ascii="Times New Roman" w:eastAsia="方正仿宋_GBK" w:hAnsi="Times New Roman"/>
          <w:sz w:val="32"/>
          <w:szCs w:val="32"/>
          <w:shd w:val="clear" w:color="auto" w:fill="auto"/>
        </w:rPr>
        <w:t>　　通讯地址：内蒙古自治区呼伦贝尔市满洲里市东五道街75号，邮政编码：021400；</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rPr>
          <w:rFonts w:ascii="Times New Roman" w:eastAsia="方正仿宋_GBK" w:hAnsi="Times New Roman"/>
          <w:sz w:val="32"/>
          <w:szCs w:val="32"/>
          <w:shd w:val="clear" w:color="auto" w:fill="auto"/>
        </w:rPr>
      </w:pPr>
      <w:r>
        <w:rPr>
          <w:rFonts w:ascii="Times New Roman" w:eastAsia="方正仿宋_GBK" w:hAnsi="Times New Roman"/>
          <w:sz w:val="32"/>
          <w:szCs w:val="32"/>
          <w:shd w:val="clear" w:color="auto" w:fill="auto"/>
        </w:rPr>
        <w:t>　　电子邮箱：</w:t>
      </w:r>
      <w:r>
        <w:rPr>
          <w:rStyle w:val="40Char"/>
          <w:b w:val="0"/>
          <w:bCs w:val="0"/>
          <w:i w:val="0"/>
          <w:iCs w:val="0"/>
          <w:caps w:val="0"/>
          <w:smallCaps w:val="0"/>
          <w:spacing w:val="0"/>
          <w:sz w:val="26"/>
          <w:szCs w:val="26"/>
        </w:rPr>
        <w:fldChar w:fldCharType="begin"/>
      </w:r>
      <w:r>
        <w:instrText>HYPERLINK "mailto:mzlhgdwgk@mail.customs.gov.cn"</w:instrText>
      </w:r>
      <w:r>
        <w:rPr>
          <w:rStyle w:val="40Char"/>
          <w:b w:val="0"/>
          <w:bCs w:val="0"/>
          <w:i w:val="0"/>
          <w:iCs w:val="0"/>
          <w:caps w:val="0"/>
          <w:smallCaps w:val="0"/>
          <w:spacing w:val="0"/>
          <w:sz w:val="26"/>
          <w:szCs w:val="26"/>
        </w:rPr>
        <w:fldChar w:fldCharType="separate"/>
      </w:r>
      <w:r>
        <w:rPr>
          <w:rStyle w:val="40Char"/>
          <w:b w:val="0"/>
          <w:bCs w:val="0"/>
          <w:i w:val="0"/>
          <w:iCs w:val="0"/>
          <w:caps w:val="0"/>
          <w:smallCaps w:val="0"/>
          <w:spacing w:val="0"/>
          <w:sz w:val="26"/>
          <w:szCs w:val="26"/>
        </w:rPr>
        <w:t>mzlhgdwgk@mail.customs.gov.cn</w:t>
      </w:r>
      <w:r>
        <w:rPr>
          <w:rStyle w:val="40Char"/>
          <w:b w:val="0"/>
          <w:bCs w:val="0"/>
          <w:i w:val="0"/>
          <w:iCs w:val="0"/>
          <w:caps w:val="0"/>
          <w:smallCaps w:val="0"/>
          <w:spacing w:val="0"/>
          <w:sz w:val="26"/>
          <w:szCs w:val="26"/>
        </w:rPr>
        <w:fldChar w:fldCharType="end"/>
      </w:r>
      <w:r>
        <w:rPr>
          <w:rFonts w:ascii="Times New Roman" w:eastAsia="方正仿宋_GBK" w:hAnsi="Times New Roman"/>
          <w:sz w:val="32"/>
          <w:szCs w:val="32"/>
          <w:shd w:val="clear" w:color="auto" w:fill="auto"/>
        </w:rPr>
        <w:t>；</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635"/>
        <w:rPr>
          <w:rFonts w:ascii="Times New Roman" w:eastAsia="方正仿宋_GBK" w:hAnsi="Times New Roman"/>
          <w:sz w:val="32"/>
          <w:szCs w:val="32"/>
          <w:shd w:val="clear" w:color="auto" w:fill="auto"/>
        </w:rPr>
      </w:pPr>
      <w:r>
        <w:rPr>
          <w:rFonts w:ascii="Times New Roman" w:eastAsia="方正仿宋_GBK" w:hAnsi="Times New Roman"/>
          <w:sz w:val="32"/>
          <w:szCs w:val="32"/>
          <w:shd w:val="clear" w:color="auto" w:fill="auto"/>
        </w:rPr>
        <w:t>联系电话：0470-6269008。</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635"/>
        <w:rPr>
          <w:rFonts w:ascii="方正仿宋_GBK" w:eastAsia="方正仿宋_GBK" w:hint="eastAsia"/>
          <w:sz w:val="32"/>
          <w:szCs w:val="32"/>
          <w:shd w:val="clear" w:color="auto" w:fill="auto"/>
        </w:rPr>
      </w:pP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0"/>
        <w:rPr>
          <w:rStyle w:val="0"/>
          <w:rFonts w:ascii="方正仿宋_GBK" w:eastAsia="方正仿宋_GBK"/>
          <w:sz w:val="32"/>
          <w:szCs w:val="32"/>
          <w:shd w:val="clear" w:color="auto" w:fill="auto"/>
        </w:rPr>
      </w:pPr>
      <w:r>
        <w:rPr>
          <w:rStyle w:val="0"/>
          <w:rFonts w:ascii="Times New Roman" w:eastAsia="方正黑体_GBK" w:hAnsi="Times New Roman" w:hint="eastAsia"/>
          <w:bCs/>
          <w:sz w:val="32"/>
          <w:szCs w:val="32"/>
          <w:shd w:val="clear" w:color="auto" w:fill="auto"/>
        </w:rPr>
        <w:t>二、基本目录</w:t>
      </w:r>
    </w:p>
    <w:p>
      <w:pPr>
        <w:pStyle w:val="18"/>
        <w:pBdr>
          <w:top w:val="none" w:sz="0" w:space="0" w:color="auto"/>
          <w:left w:val="none" w:sz="0" w:space="0" w:color="auto"/>
          <w:bottom w:val="none" w:sz="0" w:space="0" w:color="auto"/>
          <w:right w:val="none" w:sz="0" w:space="0" w:color="auto"/>
        </w:pBdr>
        <w:spacing w:before="0" w:beforeAutospacing="0" w:after="0" w:afterAutospacing="0" w:line="560" w:lineRule="exact"/>
        <w:ind w:firstLine="0"/>
        <w:rPr>
          <w:rFonts w:ascii="方正仿宋_GBK" w:eastAsia="方正仿宋_GBK" w:hint="eastAsia"/>
          <w:sz w:val="32"/>
          <w:szCs w:val="32"/>
          <w:shd w:val="clear" w:color="auto" w:fill="auto"/>
        </w:rPr>
      </w:pPr>
    </w:p>
    <w:tbl>
      <w:tblPr>
        <w:jc w:val="center"/>
        <w:tblW w:w="10759"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0" w:type="dxa"/>
          <w:left w:w="0" w:type="dxa"/>
          <w:bottom w:w="0" w:type="dxa"/>
          <w:right w:w="0" w:type="dxa"/>
        </w:tblCellMar>
      </w:tblPr>
      <w:tblGrid>
        <w:gridCol w:w="1961"/>
        <w:gridCol w:w="449"/>
        <w:gridCol w:w="1578"/>
        <w:gridCol w:w="4131"/>
        <w:gridCol w:w="1380"/>
        <w:gridCol w:w="1260"/>
      </w:tblGrid>
      <w:tr>
        <w:trPr>
          <w:trHeight w:val="667"/>
        </w:trPr>
        <w:tc>
          <w:tcPr>
            <w:tcW w:w="196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jc w:val="center"/>
              <w:rPr>
                <w:rFonts w:ascii="Arial" w:hAnsi="Arial"/>
                <w:b/>
                <w:bCs w:val="0"/>
                <w:i w:val="0"/>
                <w:iCs w:val="0"/>
                <w:caps w:val="0"/>
                <w:smallCaps w:val="0"/>
                <w:vanish w:val="0"/>
                <w:spacing w:val="0"/>
                <w:sz w:val="21"/>
                <w:szCs w:val="21"/>
              </w:rPr>
            </w:pPr>
            <w:r>
              <w:rPr>
                <w:rFonts w:ascii="Arial" w:hAnsi="Arial"/>
                <w:b/>
                <w:bCs w:val="0"/>
                <w:i w:val="0"/>
                <w:iCs w:val="0"/>
                <w:caps w:val="0"/>
                <w:smallCaps w:val="0"/>
                <w:vanish w:val="0"/>
                <w:spacing w:val="0"/>
                <w:sz w:val="21"/>
                <w:szCs w:val="21"/>
              </w:rPr>
              <w:t>公开类别</w:t>
            </w: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jc w:val="center"/>
              <w:rPr>
                <w:rFonts w:ascii="Arial" w:hAnsi="Arial"/>
                <w:b/>
                <w:bCs w:val="0"/>
                <w:i w:val="0"/>
                <w:iCs w:val="0"/>
                <w:caps w:val="0"/>
                <w:smallCaps w:val="0"/>
                <w:vanish w:val="0"/>
                <w:spacing w:val="0"/>
                <w:sz w:val="21"/>
                <w:szCs w:val="21"/>
              </w:rPr>
            </w:pPr>
            <w:r>
              <w:rPr>
                <w:rFonts w:ascii="Arial" w:hAnsi="Arial"/>
                <w:b/>
                <w:bCs w:val="0"/>
                <w:i w:val="0"/>
                <w:iCs w:val="0"/>
                <w:caps w:val="0"/>
                <w:smallCaps w:val="0"/>
                <w:vanish w:val="0"/>
                <w:spacing w:val="0"/>
                <w:sz w:val="21"/>
                <w:szCs w:val="21"/>
              </w:rPr>
              <w:t>序号</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jc w:val="center"/>
              <w:rPr>
                <w:rFonts w:ascii="Arial" w:hAnsi="Arial"/>
                <w:b/>
                <w:bCs w:val="0"/>
                <w:i w:val="0"/>
                <w:iCs w:val="0"/>
                <w:caps w:val="0"/>
                <w:smallCaps w:val="0"/>
                <w:vanish w:val="0"/>
                <w:spacing w:val="0"/>
                <w:sz w:val="21"/>
                <w:szCs w:val="21"/>
              </w:rPr>
            </w:pPr>
            <w:r>
              <w:rPr>
                <w:rFonts w:ascii="Arial" w:hAnsi="Arial"/>
                <w:b/>
                <w:bCs w:val="0"/>
                <w:i w:val="0"/>
                <w:iCs w:val="0"/>
                <w:caps w:val="0"/>
                <w:smallCaps w:val="0"/>
                <w:vanish w:val="0"/>
                <w:spacing w:val="0"/>
                <w:sz w:val="21"/>
                <w:szCs w:val="21"/>
              </w:rPr>
              <w:t>公开事项</w:t>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jc w:val="center"/>
              <w:rPr>
                <w:rFonts w:ascii="Arial" w:hAnsi="Arial"/>
                <w:b/>
                <w:bCs w:val="0"/>
                <w:i w:val="0"/>
                <w:iCs w:val="0"/>
                <w:caps w:val="0"/>
                <w:smallCaps w:val="0"/>
                <w:vanish w:val="0"/>
                <w:spacing w:val="0"/>
                <w:sz w:val="21"/>
                <w:szCs w:val="21"/>
              </w:rPr>
            </w:pPr>
            <w:r>
              <w:rPr>
                <w:rFonts w:ascii="Arial" w:hAnsi="Arial"/>
                <w:b/>
                <w:bCs w:val="0"/>
                <w:i w:val="0"/>
                <w:iCs w:val="0"/>
                <w:caps w:val="0"/>
                <w:smallCaps w:val="0"/>
                <w:vanish w:val="0"/>
                <w:spacing w:val="0"/>
                <w:sz w:val="21"/>
                <w:szCs w:val="21"/>
              </w:rPr>
              <w:t>公开内容</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jc w:val="center"/>
              <w:rPr>
                <w:rFonts w:ascii="Arial" w:hAnsi="Arial"/>
                <w:b/>
                <w:bCs w:val="0"/>
                <w:i w:val="0"/>
                <w:iCs w:val="0"/>
                <w:caps w:val="0"/>
                <w:smallCaps w:val="0"/>
                <w:vanish w:val="0"/>
                <w:spacing w:val="0"/>
                <w:sz w:val="21"/>
                <w:szCs w:val="21"/>
              </w:rPr>
            </w:pPr>
            <w:r>
              <w:rPr>
                <w:rFonts w:ascii="Arial" w:hAnsi="Arial"/>
                <w:b/>
                <w:bCs w:val="0"/>
                <w:i w:val="0"/>
                <w:iCs w:val="0"/>
                <w:caps w:val="0"/>
                <w:smallCaps w:val="0"/>
                <w:vanish w:val="0"/>
                <w:spacing w:val="0"/>
                <w:sz w:val="21"/>
                <w:szCs w:val="21"/>
              </w:rPr>
              <w:t>责任部门</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jc w:val="center"/>
              <w:rPr>
                <w:rFonts w:ascii="Arial" w:hAnsi="Arial"/>
                <w:b/>
                <w:bCs w:val="0"/>
                <w:i w:val="0"/>
                <w:iCs w:val="0"/>
                <w:caps w:val="0"/>
                <w:smallCaps w:val="0"/>
                <w:vanish w:val="0"/>
                <w:spacing w:val="0"/>
                <w:sz w:val="21"/>
                <w:szCs w:val="21"/>
              </w:rPr>
            </w:pPr>
            <w:r>
              <w:rPr>
                <w:rFonts w:ascii="Arial" w:hAnsi="Arial"/>
                <w:b/>
                <w:bCs w:val="0"/>
                <w:i w:val="0"/>
                <w:iCs w:val="0"/>
                <w:caps w:val="0"/>
                <w:smallCaps w:val="0"/>
                <w:vanish w:val="0"/>
                <w:spacing w:val="0"/>
                <w:sz w:val="21"/>
                <w:szCs w:val="21"/>
              </w:rPr>
              <w:t>备注</w:t>
            </w:r>
          </w:p>
        </w:tc>
      </w:tr>
      <w:tr>
        <w:trPr>
          <w:trHeight w:val="646"/>
        </w:trPr>
        <w:tc>
          <w:tcPr>
            <w:tcW w:w="1961" w:type="dxa"/>
            <w:vMerge w:val="restart"/>
            <w:tcBorders>
              <w:top w:val="single" w:sz="8" w:space="0" w:color="auto"/>
              <w:left w:val="single" w:sz="8" w:space="0" w:color="auto"/>
              <w:bottom w:val="single" w:sz="8" w:space="0" w:color="auto"/>
              <w:right w:val="single" w:sz="8" w:space="0" w:color="auto"/>
              <w:tl2br w:val="nil"/>
              <w:tr2bl w:val="nil"/>
            </w:tcBorders>
            <w:vAlign w:val="center"/>
          </w:tcPr>
          <w:p>
            <w:pPr>
              <w:pStyle w:val="37"/>
              <w:numPr>
                <w:ilvl w:val="0"/>
                <w:numId w:val="1"/>
              </w:numPr>
              <w:pBdr>
                <w:top w:val="none" w:sz="0" w:space="0" w:color="auto"/>
                <w:left w:val="none" w:sz="0" w:space="0" w:color="auto"/>
                <w:bottom w:val="none" w:sz="0" w:space="0" w:color="auto"/>
                <w:right w:val="none" w:sz="0" w:space="0" w:color="auto"/>
              </w:pBdr>
              <w:spacing w:before="100" w:beforeAutospacing="1" w:after="100" w:afterAutospacing="1"/>
              <w:ind w:left="36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一、机构信息</w:t>
            </w: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1.</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"http://manzhouli.customs.gov.cn/manzhouli_customs/sy20207250/742112/index.html"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基本信息</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办公地址、办公电话（总机）、通信地址等信息。</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办公室</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933"/>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2.</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"http://manzhouli.customs.gov.cn/manzhouli_customs/566011/566014/index.html"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关领导信息</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领导姓名、职务等信息，以及领导参与的可公开的主要活动、重要会议等。</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办公室</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312"/>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3.</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"http://manzhouli.customs.gov.cn/manzhouli_customs/566011/566012/index.html"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机构职能</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"http://manzhouli.customs.gov.cn/manzhouli_customs/566011/566012/index.html"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机构概况</w:t>
            </w:r>
            <w:r>
              <w:rPr>
                <w:rStyle w:val="15"/>
                <w:rFonts w:ascii="Arial" w:hAnsi="Arial"/>
                <w:b w:val="0"/>
                <w:bCs w:val="0"/>
                <w:i w:val="0"/>
                <w:iCs w:val="0"/>
                <w:caps w:val="0"/>
                <w:smallCaps w:val="0"/>
                <w:vanish w:val="0"/>
                <w:color w:val="auto"/>
                <w:spacing w:val="0"/>
                <w:sz w:val="21"/>
                <w:szCs w:val="21"/>
                <w:u w:val="none"/>
              </w:rPr>
              <w:fldChar w:fldCharType="end"/>
            </w:r>
            <w:r>
              <w:rPr>
                <w:rFonts w:ascii="Arial" w:hAnsi="Arial"/>
                <w:b w:val="0"/>
                <w:bCs w:val="0"/>
                <w:i w:val="0"/>
                <w:iCs w:val="0"/>
                <w:caps w:val="0"/>
                <w:smallCaps w:val="0"/>
                <w:vanish w:val="0"/>
                <w:spacing w:val="0"/>
                <w:sz w:val="21"/>
                <w:szCs w:val="21"/>
              </w:rPr>
              <w:t>、</w:t>
            </w: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"http://manzhouli.customs.gov.cn/manzhouli_customs/566011/566013/33335255/index.html"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组织机构设置</w:t>
            </w:r>
            <w:r>
              <w:rPr>
                <w:rStyle w:val="15"/>
                <w:rFonts w:ascii="Arial" w:hAnsi="Arial"/>
                <w:b w:val="0"/>
                <w:bCs w:val="0"/>
                <w:i w:val="0"/>
                <w:iCs w:val="0"/>
                <w:caps w:val="0"/>
                <w:smallCaps w:val="0"/>
                <w:vanish w:val="0"/>
                <w:color w:val="auto"/>
                <w:spacing w:val="0"/>
                <w:sz w:val="21"/>
                <w:szCs w:val="21"/>
                <w:u w:val="none"/>
              </w:rPr>
              <w:fldChar w:fldCharType="end"/>
            </w:r>
            <w:r>
              <w:rPr>
                <w:rFonts w:ascii="Arial" w:hAnsi="Arial"/>
                <w:b w:val="0"/>
                <w:bCs w:val="0"/>
                <w:i w:val="0"/>
                <w:iCs w:val="0"/>
                <w:caps w:val="0"/>
                <w:smallCaps w:val="0"/>
                <w:vanish w:val="0"/>
                <w:spacing w:val="0"/>
                <w:sz w:val="21"/>
                <w:szCs w:val="21"/>
              </w:rPr>
              <w:t>、</w:t>
            </w: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"http://manzhouli.customs.gov.cn/manzhouli_customs/566011/566012/index.html"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主要职能</w:t>
            </w:r>
            <w:r>
              <w:rPr>
                <w:rStyle w:val="15"/>
                <w:rFonts w:ascii="Arial" w:hAnsi="Arial"/>
                <w:b w:val="0"/>
                <w:bCs w:val="0"/>
                <w:i w:val="0"/>
                <w:iCs w:val="0"/>
                <w:caps w:val="0"/>
                <w:smallCaps w:val="0"/>
                <w:vanish w:val="0"/>
                <w:color w:val="auto"/>
                <w:spacing w:val="0"/>
                <w:sz w:val="21"/>
                <w:szCs w:val="21"/>
                <w:u w:val="none"/>
              </w:rPr>
              <w:fldChar w:fldCharType="end"/>
            </w:r>
            <w:r>
              <w:rPr>
                <w:rFonts w:ascii="Arial" w:hAnsi="Arial"/>
                <w:b w:val="0"/>
                <w:bCs w:val="0"/>
                <w:i w:val="0"/>
                <w:iCs w:val="0"/>
                <w:caps w:val="0"/>
                <w:smallCaps w:val="0"/>
                <w:vanish w:val="0"/>
                <w:spacing w:val="0"/>
                <w:sz w:val="21"/>
                <w:szCs w:val="21"/>
              </w:rPr>
              <w:t>等信息。</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人教处</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933"/>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Style w:val="32"/>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4.</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33"/>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"http://manzhouli.customs.gov.cn/manzhouli_customs/566011/566013/33335232/index.html"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隶属海关信息</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34"/>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各隶属海关单位的主要职责、负责人姓名、内设科室、办公地址、办公时间等信息。</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35"/>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人教处</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pStyle w:val="36"/>
              <w:ind w:left="0" w:firstLine="0"/>
              <w:rPr>
                <w:rFonts w:ascii="Arial" w:hAnsi="Arial"/>
                <w:b w:val="0"/>
                <w:bCs w:val="0"/>
                <w:i w:val="0"/>
                <w:iCs w:val="0"/>
                <w:caps w:val="0"/>
                <w:smallCaps w:val="0"/>
                <w:vanish w:val="0"/>
                <w:spacing w:val="0"/>
                <w:sz w:val="21"/>
                <w:szCs w:val="21"/>
              </w:rPr>
            </w:pPr>
          </w:p>
        </w:tc>
      </w:tr>
      <w:tr>
        <w:trPr>
          <w:trHeight w:val="980"/>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5.</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rPr>
                <w:rFonts w:ascii="Arial" w:hAnsi="Arial"/>
                <w:b w:val="0"/>
                <w:bCs w:val="0"/>
                <w:i w:val="0"/>
                <w:iCs w:val="0"/>
                <w:caps w:val="0"/>
                <w:smallCaps w:val="0"/>
                <w:vanish w:val="0"/>
                <w:color w:val="auto"/>
                <w:spacing w:val="0"/>
                <w:sz w:val="21"/>
                <w:szCs w:val="21"/>
                <w:u w:val="none"/>
              </w:rPr>
            </w:pPr>
            <w:r>
              <w:rPr>
                <w:rFonts w:ascii="Arial" w:hAnsi="Arial"/>
                <w:b w:val="0"/>
                <w:bCs w:val="0"/>
                <w:i w:val="0"/>
                <w:iCs w:val="0"/>
                <w:caps w:val="0"/>
                <w:smallCaps w:val="0"/>
                <w:vanish w:val="0"/>
                <w:color w:val="auto"/>
                <w:spacing w:val="0"/>
                <w:sz w:val="21"/>
                <w:szCs w:val="21"/>
                <w:u w:val="none"/>
              </w:rPr>
              <w:t>事业单位</w:t>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各事业单位的主要职责、负责人姓名、内设科室、办公地址、办公时间、联系方式等信息。</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人教处</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rPr>
                <w:rFonts w:ascii="Arial" w:hAnsi="Arial"/>
                <w:b w:val="0"/>
                <w:bCs w:val="0"/>
                <w:i w:val="0"/>
                <w:iCs w:val="0"/>
                <w:caps w:val="0"/>
                <w:smallCaps w:val="0"/>
                <w:vanish w:val="0"/>
                <w:spacing w:val="0"/>
                <w:sz w:val="21"/>
                <w:szCs w:val="21"/>
              </w:rPr>
            </w:pPr>
          </w:p>
        </w:tc>
      </w:tr>
      <w:tr>
        <w:trPr>
          <w:trHeight w:val="1001"/>
        </w:trPr>
        <w:tc>
          <w:tcPr>
            <w:tcW w:w="1961" w:type="dxa"/>
            <w:tcBorders>
              <w:top w:val="single" w:sz="8" w:space="0" w:color="auto"/>
              <w:left w:val="single" w:sz="8" w:space="0" w:color="auto"/>
              <w:bottom w:val="single" w:sz="8" w:space="0" w:color="auto"/>
              <w:right w:val="single" w:sz="8" w:space="0" w:color="auto"/>
              <w:tl2br w:val="nil"/>
              <w:tr2bl w:val="nil"/>
            </w:tcBorders>
            <w:vAlign w:val="center"/>
          </w:tcPr>
          <w:p>
            <w:pPr>
              <w:numPr>
                <w:ilvl w:val="0"/>
                <w:numId w:val="1"/>
              </w:numPr>
              <w:pBdr>
                <w:top w:val="none" w:sz="0" w:space="0" w:color="auto"/>
                <w:left w:val="none" w:sz="0" w:space="0" w:color="auto"/>
                <w:bottom w:val="none" w:sz="0" w:space="0" w:color="auto"/>
                <w:right w:val="none" w:sz="0" w:space="0" w:color="auto"/>
              </w:pBdr>
              <w:spacing w:before="100" w:beforeAutospacing="1" w:after="100" w:afterAutospacing="1"/>
              <w:ind w:left="36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二、规范性文件</w:t>
            </w: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6.</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"http://manzhouli.customs.gov.cn/manzhouli_customs/566020/3392762/3393934/3362002/index.html"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满洲里海关规范性文件</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以满洲里海关公告或单位联合公告形式发布的，涉及行政相对人权利义务的海关信息。</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各单位、各部门</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667"/>
        </w:trPr>
        <w:tc>
          <w:tcPr>
            <w:tcW w:w="1961" w:type="dxa"/>
            <w:tcBorders>
              <w:top w:val="single" w:sz="8" w:space="0" w:color="auto"/>
              <w:left w:val="single" w:sz="8" w:space="0" w:color="auto"/>
              <w:bottom w:val="single" w:sz="8" w:space="0" w:color="auto"/>
              <w:right w:val="single" w:sz="8" w:space="0" w:color="auto"/>
              <w:tl2br w:val="nil"/>
              <w:tr2bl w:val="nil"/>
            </w:tcBorders>
            <w:vAlign w:val="center"/>
          </w:tcPr>
          <w:p>
            <w:pPr>
              <w:numPr>
                <w:ilvl w:val="0"/>
                <w:numId w:val="1"/>
              </w:numPr>
              <w:pBdr>
                <w:top w:val="none" w:sz="0" w:space="0" w:color="auto"/>
                <w:left w:val="none" w:sz="0" w:space="0" w:color="auto"/>
                <w:bottom w:val="none" w:sz="0" w:space="0" w:color="auto"/>
                <w:right w:val="none" w:sz="0" w:space="0" w:color="auto"/>
              </w:pBdr>
              <w:spacing w:before="100" w:beforeAutospacing="1" w:after="100" w:afterAutospacing="1"/>
              <w:ind w:left="36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三、计划总结</w:t>
            </w: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7.</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"http://manzhouli.customs.gov.cn/manzhouli_customs/566020/3392762/jhzj47/index.html"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年度工作计划和总结</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上年度工作情况总结和本年度整体工作计划</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办公室</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667"/>
        </w:trPr>
        <w:tc>
          <w:tcPr>
            <w:tcW w:w="1961" w:type="dxa"/>
            <w:vMerge w:val="restart"/>
            <w:tcBorders>
              <w:top w:val="single" w:sz="8" w:space="0" w:color="auto"/>
              <w:left w:val="single" w:sz="8" w:space="0" w:color="auto"/>
              <w:bottom w:val="single" w:sz="8" w:space="0" w:color="auto"/>
              <w:right w:val="single" w:sz="8" w:space="0" w:color="auto"/>
              <w:tl2br w:val="nil"/>
              <w:tr2bl w:val="nil"/>
            </w:tcBorders>
            <w:vAlign w:val="center"/>
          </w:tcPr>
          <w:p>
            <w:pPr>
              <w:numPr>
                <w:ilvl w:val="0"/>
                <w:numId w:val="1"/>
              </w:numPr>
              <w:pBdr>
                <w:top w:val="none" w:sz="0" w:space="0" w:color="auto"/>
                <w:left w:val="none" w:sz="0" w:space="0" w:color="auto"/>
                <w:bottom w:val="none" w:sz="0" w:space="0" w:color="auto"/>
                <w:right w:val="none" w:sz="0" w:space="0" w:color="auto"/>
              </w:pBdr>
              <w:spacing w:before="100" w:beforeAutospacing="1" w:after="100" w:afterAutospacing="1"/>
              <w:ind w:left="36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四、海关统计</w:t>
            </w: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8.</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"http://manzhouli.customs.gov.cn/manzhouli_customs/566020/3392762/566022/index.html"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满洲里海关统计信息和统计分析</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满洲里海关统计月报、分析报告等。</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统计处</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954"/>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9.</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"http://www.customs.gov.cn/customs/302249/zfxxgk/2799825/302274/tjfwzn/2319672/index.html"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海关统计服务</w:t>
            </w:r>
            <w:r>
              <w:rPr>
                <w:rStyle w:val="15"/>
                <w:rFonts w:ascii="Arial" w:hAnsi="Arial"/>
                <w:b w:val="0"/>
                <w:bCs w:val="0"/>
                <w:i w:val="0"/>
                <w:iCs w:val="0"/>
                <w:caps w:val="0"/>
                <w:smallCaps w:val="0"/>
                <w:vanish w:val="0"/>
                <w:color w:val="auto"/>
                <w:spacing w:val="0"/>
                <w:sz w:val="21"/>
                <w:szCs w:val="21"/>
                <w:u w:val="none"/>
              </w:rPr>
              <w:fldChar w:fldCharType="end"/>
            </w:r>
          </w:p>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"http://www.customs.gov.cn/customs/302249/zfxxgk/2799825/302274/tjfwzn/2319672/index.html"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指南</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可以根据社会公众的需要提供统计服务的内容以及用户获取服务的渠道等。</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统计处</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333"/>
        </w:trPr>
        <w:tc>
          <w:tcPr>
            <w:tcW w:w="1961" w:type="dxa"/>
            <w:vMerge w:val="restart"/>
            <w:tcBorders>
              <w:top w:val="single" w:sz="8" w:space="0" w:color="auto"/>
              <w:left w:val="single" w:sz="8" w:space="0" w:color="auto"/>
              <w:bottom w:val="single" w:sz="8" w:space="0" w:color="auto"/>
              <w:right w:val="single" w:sz="8" w:space="0" w:color="auto"/>
              <w:tl2br w:val="nil"/>
              <w:tr2bl w:val="nil"/>
            </w:tcBorders>
            <w:vAlign w:val="center"/>
          </w:tcPr>
          <w:p>
            <w:pPr>
              <w:numPr>
                <w:ilvl w:val="0"/>
                <w:numId w:val="1"/>
              </w:numPr>
              <w:pBdr>
                <w:top w:val="none" w:sz="0" w:space="0" w:color="auto"/>
                <w:left w:val="none" w:sz="0" w:space="0" w:color="auto"/>
                <w:bottom w:val="none" w:sz="0" w:space="0" w:color="auto"/>
                <w:right w:val="none" w:sz="0" w:space="0" w:color="auto"/>
              </w:pBdr>
              <w:spacing w:before="100" w:beforeAutospacing="1" w:after="100" w:afterAutospacing="1"/>
              <w:ind w:left="36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五、行政审批事项</w:t>
            </w: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10.</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"http://manzhouli.customs.gov.cn/manzhouli_customs/566047/566048/2789954/index.html"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审批事项目录</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sz w:val="21"/>
              </w:rPr>
              <w:t>满洲里海关行政许可事项公开目录清单</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法规处</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667"/>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vMerge w:val="restart"/>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11.</w:t>
            </w:r>
          </w:p>
        </w:tc>
        <w:tc>
          <w:tcPr>
            <w:tcW w:w="1578" w:type="dxa"/>
            <w:vMerge w:val="restart"/>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"http://manzhouli.customs.gov.cn/manzhouli_customs/566047/566049/3029321/index.html"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办事指南</w:t>
            </w:r>
            <w:r>
              <w:rPr>
                <w:rStyle w:val="15"/>
                <w:rFonts w:ascii="Arial" w:hAnsi="Arial"/>
                <w:b w:val="0"/>
                <w:bCs w:val="0"/>
                <w:i w:val="0"/>
                <w:iCs w:val="0"/>
                <w:caps w:val="0"/>
                <w:smallCaps w:val="0"/>
                <w:vanish w:val="0"/>
                <w:color w:val="auto"/>
                <w:spacing w:val="0"/>
                <w:sz w:val="21"/>
                <w:szCs w:val="21"/>
                <w:u w:val="none"/>
              </w:rPr>
              <w:fldChar w:fldCharType="end"/>
            </w:r>
            <w:r>
              <w:rPr>
                <w:rFonts w:ascii="Arial" w:hAnsi="Arial"/>
                <w:b w:val="0"/>
                <w:bCs w:val="0"/>
                <w:i w:val="0"/>
                <w:iCs w:val="0"/>
                <w:caps w:val="0"/>
                <w:smallCaps w:val="0"/>
                <w:vanish w:val="0"/>
                <w:spacing w:val="0"/>
                <w:sz w:val="21"/>
                <w:szCs w:val="21"/>
              </w:rPr>
              <w:t>和</w:t>
            </w:r>
          </w:p>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"http://manzhouli.customs.gov.cn/manzhouli_customs/566020/3392762/566039/index.html"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办理结果</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“保税物流中心（A型）设立审批”的办事指南和审批结果。</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稽查处</w:t>
            </w:r>
          </w:p>
        </w:tc>
        <w:tc>
          <w:tcPr>
            <w:tcW w:w="1260" w:type="dxa"/>
            <w:vMerge w:val="restart"/>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办事指南通过满洲里海关门户网站“在线服务”栏目对外提供；审批结果在“政府信息公开-法定主动公开内容-双公示-行政许可”栏目查看。</w:t>
            </w:r>
          </w:p>
        </w:tc>
      </w:tr>
      <w:tr>
        <w:trPr>
          <w:trHeight w:val="667"/>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1578"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“保税物流中心（B型）设立审批”的办事指南和审批结果。</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综合处</w:t>
            </w:r>
          </w:p>
        </w:tc>
        <w:tc>
          <w:tcPr>
            <w:tcW w:w="1260" w:type="dxa"/>
            <w:vMerge/>
            <w:tcBorders>
              <w:top w:val="single" w:sz="8" w:space="0" w:color="auto"/>
              <w:left w:val="single" w:sz="8" w:space="0" w:color="auto"/>
              <w:bottom w:val="single" w:sz="8" w:space="0" w:color="auto"/>
              <w:right w:val="single" w:sz="8" w:space="0" w:color="auto"/>
              <w:tl2br w:val="nil"/>
              <w:tr2bl w:val="nil"/>
            </w:tcBorders>
            <w:vAlign w:val="center"/>
          </w:tcPr>
          <w:p/>
        </w:tc>
      </w:tr>
      <w:tr>
        <w:trPr>
          <w:trHeight w:val="1001"/>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1578"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“出境特定动植物及其产品和其他检疫物的生产、加工、存放单位注册登记”的办事指南和审批结果。</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动植检处</w:t>
            </w:r>
          </w:p>
        </w:tc>
        <w:tc>
          <w:tcPr>
            <w:tcW w:w="1260" w:type="dxa"/>
            <w:vMerge/>
            <w:tcBorders>
              <w:top w:val="single" w:sz="8" w:space="0" w:color="auto"/>
              <w:left w:val="single" w:sz="8" w:space="0" w:color="auto"/>
              <w:bottom w:val="single" w:sz="8" w:space="0" w:color="auto"/>
              <w:right w:val="single" w:sz="8" w:space="0" w:color="auto"/>
              <w:tl2br w:val="nil"/>
              <w:tr2bl w:val="nil"/>
            </w:tcBorders>
            <w:vAlign w:val="center"/>
          </w:tcPr>
          <w:p/>
        </w:tc>
      </w:tr>
      <w:tr>
        <w:trPr>
          <w:trHeight w:val="667"/>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1578"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“口岸卫生许可（食品、饮用水部分、公共场所部分）”的办事指南和审批结果。</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卫检处</w:t>
            </w:r>
          </w:p>
        </w:tc>
        <w:tc>
          <w:tcPr>
            <w:tcW w:w="1260" w:type="dxa"/>
            <w:vMerge/>
            <w:tcBorders>
              <w:top w:val="single" w:sz="8" w:space="0" w:color="auto"/>
              <w:left w:val="single" w:sz="8" w:space="0" w:color="auto"/>
              <w:bottom w:val="single" w:sz="8" w:space="0" w:color="auto"/>
              <w:right w:val="single" w:sz="8" w:space="0" w:color="auto"/>
              <w:tl2br w:val="nil"/>
              <w:tr2bl w:val="nil"/>
            </w:tcBorders>
            <w:vAlign w:val="center"/>
          </w:tcPr>
          <w:p/>
        </w:tc>
      </w:tr>
      <w:tr>
        <w:trPr>
          <w:trHeight w:val="667"/>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1578"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“特殊物品出入境卫生检疫审批”的办事指南和审批结果。</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卫检处</w:t>
            </w:r>
          </w:p>
        </w:tc>
        <w:tc>
          <w:tcPr>
            <w:tcW w:w="1260" w:type="dxa"/>
            <w:vMerge/>
            <w:tcBorders>
              <w:top w:val="single" w:sz="8" w:space="0" w:color="auto"/>
              <w:left w:val="single" w:sz="8" w:space="0" w:color="auto"/>
              <w:bottom w:val="single" w:sz="8" w:space="0" w:color="auto"/>
              <w:right w:val="single" w:sz="8" w:space="0" w:color="auto"/>
              <w:tl2br w:val="nil"/>
              <w:tr2bl w:val="nil"/>
            </w:tcBorders>
            <w:vAlign w:val="center"/>
          </w:tcPr>
          <w:p/>
        </w:tc>
      </w:tr>
      <w:tr>
        <w:trPr>
          <w:trHeight w:val="1001"/>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1578"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“过境动物、进境特定动植物及其产品检疫审批（食品部分、动植物部分）”的办事指南和审批结果。</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动植检处</w:t>
            </w:r>
          </w:p>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食安处</w:t>
            </w:r>
          </w:p>
        </w:tc>
        <w:tc>
          <w:tcPr>
            <w:tcW w:w="1260" w:type="dxa"/>
            <w:vMerge/>
            <w:tcBorders>
              <w:top w:val="single" w:sz="8" w:space="0" w:color="auto"/>
              <w:left w:val="single" w:sz="8" w:space="0" w:color="auto"/>
              <w:bottom w:val="single" w:sz="8" w:space="0" w:color="auto"/>
              <w:right w:val="single" w:sz="8" w:space="0" w:color="auto"/>
              <w:tl2br w:val="nil"/>
              <w:tr2bl w:val="nil"/>
            </w:tcBorders>
            <w:vAlign w:val="center"/>
          </w:tcPr>
          <w:p/>
        </w:tc>
      </w:tr>
      <w:tr>
        <w:trPr>
          <w:trHeight w:val="667"/>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1578"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“进出境动植物检疫除害处理单位核准”的办事指南和审批结果。</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动植检处</w:t>
            </w:r>
          </w:p>
        </w:tc>
        <w:tc>
          <w:tcPr>
            <w:tcW w:w="1260" w:type="dxa"/>
            <w:vMerge/>
            <w:tcBorders>
              <w:top w:val="single" w:sz="8" w:space="0" w:color="auto"/>
              <w:left w:val="single" w:sz="8" w:space="0" w:color="auto"/>
              <w:bottom w:val="single" w:sz="8" w:space="0" w:color="auto"/>
              <w:right w:val="single" w:sz="8" w:space="0" w:color="auto"/>
              <w:tl2br w:val="nil"/>
              <w:tr2bl w:val="nil"/>
            </w:tcBorders>
            <w:vAlign w:val="center"/>
          </w:tcPr>
          <w:p/>
        </w:tc>
      </w:tr>
      <w:tr>
        <w:trPr>
          <w:trHeight w:val="667"/>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1578"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“出口监管仓库设立审批”的办事指南和审批结果。</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稽查处</w:t>
            </w:r>
          </w:p>
        </w:tc>
        <w:tc>
          <w:tcPr>
            <w:tcW w:w="1260" w:type="dxa"/>
            <w:vMerge/>
            <w:tcBorders>
              <w:top w:val="single" w:sz="8" w:space="0" w:color="auto"/>
              <w:left w:val="single" w:sz="8" w:space="0" w:color="auto"/>
              <w:bottom w:val="single" w:sz="8" w:space="0" w:color="auto"/>
              <w:right w:val="single" w:sz="8" w:space="0" w:color="auto"/>
              <w:tl2br w:val="nil"/>
              <w:tr2bl w:val="nil"/>
            </w:tcBorders>
            <w:vAlign w:val="center"/>
          </w:tcPr>
          <w:p/>
        </w:tc>
      </w:tr>
      <w:tr>
        <w:trPr>
          <w:trHeight w:val="667"/>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1578"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“保税仓库设立审批”的办事指南和审批结果。</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稽查处</w:t>
            </w:r>
          </w:p>
        </w:tc>
        <w:tc>
          <w:tcPr>
            <w:tcW w:w="1260" w:type="dxa"/>
            <w:vMerge/>
            <w:tcBorders>
              <w:top w:val="single" w:sz="8" w:space="0" w:color="auto"/>
              <w:left w:val="single" w:sz="8" w:space="0" w:color="auto"/>
              <w:bottom w:val="single" w:sz="8" w:space="0" w:color="auto"/>
              <w:right w:val="single" w:sz="8" w:space="0" w:color="auto"/>
              <w:tl2br w:val="nil"/>
              <w:tr2bl w:val="nil"/>
            </w:tcBorders>
            <w:vAlign w:val="center"/>
          </w:tcPr>
          <w:p/>
        </w:tc>
      </w:tr>
      <w:tr>
        <w:trPr>
          <w:trHeight w:val="667"/>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1578"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“海关监管货物仓储企业注册”的办事指南和审批结果。</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监管处</w:t>
            </w:r>
          </w:p>
        </w:tc>
        <w:tc>
          <w:tcPr>
            <w:tcW w:w="1260" w:type="dxa"/>
            <w:vMerge/>
            <w:tcBorders>
              <w:top w:val="single" w:sz="8" w:space="0" w:color="auto"/>
              <w:left w:val="single" w:sz="8" w:space="0" w:color="auto"/>
              <w:bottom w:val="single" w:sz="8" w:space="0" w:color="auto"/>
              <w:right w:val="single" w:sz="8" w:space="0" w:color="auto"/>
              <w:tl2br w:val="nil"/>
              <w:tr2bl w:val="nil"/>
            </w:tcBorders>
            <w:vAlign w:val="center"/>
          </w:tcPr>
          <w:p/>
        </w:tc>
      </w:tr>
      <w:tr>
        <w:trPr>
          <w:trHeight w:val="667"/>
        </w:trPr>
        <w:tc>
          <w:tcPr>
            <w:tcW w:w="1961" w:type="dxa"/>
            <w:vMerge w:val="restart"/>
            <w:tcBorders>
              <w:top w:val="single" w:sz="8" w:space="0" w:color="auto"/>
              <w:left w:val="single" w:sz="8" w:space="0" w:color="auto"/>
              <w:bottom w:val="single" w:sz="8" w:space="0" w:color="auto"/>
              <w:right w:val="single" w:sz="8" w:space="0" w:color="auto"/>
              <w:tl2br w:val="nil"/>
              <w:tr2bl w:val="nil"/>
            </w:tcBorders>
            <w:vAlign w:val="center"/>
          </w:tcPr>
          <w:p>
            <w:pPr>
              <w:numPr>
                <w:ilvl w:val="0"/>
                <w:numId w:val="1"/>
              </w:numPr>
              <w:pBdr>
                <w:top w:val="none" w:sz="0" w:space="0" w:color="auto"/>
                <w:left w:val="none" w:sz="0" w:space="0" w:color="auto"/>
                <w:bottom w:val="none" w:sz="0" w:space="0" w:color="auto"/>
                <w:right w:val="none" w:sz="0" w:space="0" w:color="auto"/>
              </w:pBdr>
              <w:spacing w:before="100" w:beforeAutospacing="1" w:after="100" w:afterAutospacing="1"/>
              <w:ind w:left="36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六、行政执法事项</w:t>
            </w: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12.</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宋体" w:eastAsia="宋体" w:hint="eastAsia"/>
                <w:b w:val="0"/>
                <w:bCs w:val="0"/>
                <w:i w:val="0"/>
                <w:iCs w:val="0"/>
                <w:caps w:val="0"/>
                <w:smallCaps w:val="0"/>
                <w:vanish w:val="0"/>
                <w:color w:val="auto"/>
                <w:spacing w:val="0"/>
                <w:sz w:val="21"/>
                <w:szCs w:val="21"/>
                <w:u w:val="none"/>
              </w:rPr>
              <w:fldChar w:fldCharType="begin"/>
            </w:r>
            <w:r>
              <w:instrText>HYPERLINK "http://manzhouli.customs.gov.cn/manzhouli_customs/566020/3392762/3366704/index.html"</w:instrText>
            </w:r>
            <w:r>
              <w:rPr>
                <w:rStyle w:val="15"/>
                <w:rFonts w:ascii="宋体" w:eastAsia="宋体" w:hint="eastAsia"/>
                <w:b w:val="0"/>
                <w:bCs w:val="0"/>
                <w:i w:val="0"/>
                <w:iCs w:val="0"/>
                <w:caps w:val="0"/>
                <w:smallCaps w:val="0"/>
                <w:vanish w:val="0"/>
                <w:color w:val="auto"/>
                <w:spacing w:val="0"/>
                <w:sz w:val="21"/>
                <w:szCs w:val="21"/>
                <w:u w:val="none"/>
              </w:rPr>
              <w:fldChar w:fldCharType="separate"/>
            </w:r>
            <w:r>
              <w:rPr>
                <w:rStyle w:val="15"/>
                <w:rFonts w:ascii="宋体" w:eastAsia="宋体" w:hint="eastAsia"/>
                <w:b w:val="0"/>
                <w:bCs w:val="0"/>
                <w:i w:val="0"/>
                <w:iCs w:val="0"/>
                <w:caps w:val="0"/>
                <w:smallCaps w:val="0"/>
                <w:vanish w:val="0"/>
                <w:color w:val="auto"/>
                <w:spacing w:val="0"/>
                <w:sz w:val="21"/>
                <w:szCs w:val="21"/>
                <w:u w:val="none"/>
              </w:rPr>
              <w:t>行政处罚、行政强制</w:t>
            </w:r>
            <w:r>
              <w:rPr>
                <w:rStyle w:val="15"/>
                <w:rFonts w:ascii="宋体" w:eastAsia="宋体" w:hint="eastAsia"/>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行政处罚依据、行政处罚结果、行政强制依据。</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缉私局</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333"/>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13.</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行政检查</w:t>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宋体" w:eastAsia="宋体" w:hint="eastAsia"/>
                <w:b w:val="0"/>
                <w:bCs w:val="0"/>
                <w:i w:val="0"/>
                <w:iCs w:val="0"/>
                <w:caps w:val="0"/>
                <w:smallCaps w:val="0"/>
                <w:vanish w:val="0"/>
                <w:color w:val="auto"/>
                <w:spacing w:val="0"/>
                <w:sz w:val="21"/>
                <w:szCs w:val="21"/>
                <w:u w:val="none"/>
              </w:rPr>
              <w:fldChar w:fldCharType="begin"/>
            </w:r>
            <w:r>
              <w:instrText>HYPERLINK "http://www.customs.gov.cn/customs/302249/zfxxgk/zfxxgkml34/4012855/index.html"</w:instrText>
            </w:r>
            <w:r>
              <w:rPr>
                <w:rStyle w:val="15"/>
                <w:rFonts w:ascii="宋体" w:eastAsia="宋体" w:hint="eastAsia"/>
                <w:b w:val="0"/>
                <w:bCs w:val="0"/>
                <w:i w:val="0"/>
                <w:iCs w:val="0"/>
                <w:caps w:val="0"/>
                <w:smallCaps w:val="0"/>
                <w:vanish w:val="0"/>
                <w:color w:val="auto"/>
                <w:spacing w:val="0"/>
                <w:sz w:val="21"/>
                <w:szCs w:val="21"/>
                <w:u w:val="none"/>
              </w:rPr>
              <w:fldChar w:fldCharType="separate"/>
            </w:r>
            <w:r>
              <w:rPr>
                <w:rStyle w:val="15"/>
                <w:rFonts w:ascii="宋体" w:eastAsia="宋体" w:hint="eastAsia"/>
                <w:b w:val="0"/>
                <w:bCs w:val="0"/>
                <w:i w:val="0"/>
                <w:iCs w:val="0"/>
                <w:caps w:val="0"/>
                <w:smallCaps w:val="0"/>
                <w:vanish w:val="0"/>
                <w:color w:val="auto"/>
                <w:spacing w:val="0"/>
                <w:sz w:val="21"/>
                <w:szCs w:val="21"/>
                <w:u w:val="none"/>
              </w:rPr>
              <w:t>随机抽查事项清单</w:t>
            </w:r>
            <w:r>
              <w:rPr>
                <w:rStyle w:val="15"/>
                <w:rFonts w:ascii="宋体" w:eastAsia="宋体" w:hint="eastAsia"/>
                <w:b w:val="0"/>
                <w:bCs w:val="0"/>
                <w:i w:val="0"/>
                <w:iCs w:val="0"/>
                <w:caps w:val="0"/>
                <w:smallCaps w:val="0"/>
                <w:vanish w:val="0"/>
                <w:color w:val="auto"/>
                <w:spacing w:val="0"/>
                <w:sz w:val="21"/>
                <w:szCs w:val="21"/>
                <w:u w:val="none"/>
              </w:rPr>
              <w:fldChar w:fldCharType="end"/>
            </w:r>
            <w:r>
              <w:rPr>
                <w:rFonts w:ascii="宋体" w:eastAsia="宋体" w:hint="eastAsia"/>
                <w:b w:val="0"/>
                <w:bCs w:val="0"/>
                <w:i w:val="0"/>
                <w:iCs w:val="0"/>
                <w:caps w:val="0"/>
                <w:smallCaps w:val="0"/>
                <w:vanish w:val="0"/>
                <w:spacing w:val="0"/>
                <w:sz w:val="21"/>
                <w:szCs w:val="21"/>
              </w:rPr>
              <w:t>、</w:t>
            </w:r>
            <w:r>
              <w:rPr>
                <w:rStyle w:val="15"/>
                <w:rFonts w:ascii="宋体" w:eastAsia="宋体" w:hint="eastAsia"/>
                <w:b w:val="0"/>
                <w:bCs w:val="0"/>
                <w:i w:val="0"/>
                <w:iCs w:val="0"/>
                <w:caps w:val="0"/>
                <w:smallCaps w:val="0"/>
                <w:vanish w:val="0"/>
                <w:color w:val="auto"/>
                <w:spacing w:val="0"/>
                <w:sz w:val="21"/>
                <w:szCs w:val="21"/>
                <w:u w:val="none"/>
              </w:rPr>
              <w:fldChar w:fldCharType="begin"/>
            </w:r>
            <w:r>
              <w:instrText>HYPERLINK "http://manzhouli.customs.gov.cn/manzhouli_customs/566020/3392762/3150168/index.html"</w:instrText>
            </w:r>
            <w:r>
              <w:rPr>
                <w:rStyle w:val="15"/>
                <w:rFonts w:ascii="宋体" w:eastAsia="宋体" w:hint="eastAsia"/>
                <w:b w:val="0"/>
                <w:bCs w:val="0"/>
                <w:i w:val="0"/>
                <w:iCs w:val="0"/>
                <w:caps w:val="0"/>
                <w:smallCaps w:val="0"/>
                <w:vanish w:val="0"/>
                <w:color w:val="auto"/>
                <w:spacing w:val="0"/>
                <w:sz w:val="21"/>
                <w:szCs w:val="21"/>
                <w:u w:val="none"/>
              </w:rPr>
              <w:fldChar w:fldCharType="separate"/>
            </w:r>
            <w:r>
              <w:rPr>
                <w:rStyle w:val="15"/>
                <w:rFonts w:ascii="宋体" w:eastAsia="宋体" w:hint="eastAsia"/>
                <w:b w:val="0"/>
                <w:bCs w:val="0"/>
                <w:i w:val="0"/>
                <w:iCs w:val="0"/>
                <w:caps w:val="0"/>
                <w:smallCaps w:val="0"/>
                <w:vanish w:val="0"/>
                <w:color w:val="auto"/>
                <w:spacing w:val="0"/>
                <w:sz w:val="21"/>
                <w:szCs w:val="21"/>
                <w:u w:val="none"/>
              </w:rPr>
              <w:t>随机抽查结果</w:t>
            </w:r>
            <w:r>
              <w:rPr>
                <w:rStyle w:val="15"/>
                <w:rFonts w:ascii="宋体" w:eastAsia="宋体" w:hint="eastAsia"/>
                <w:b w:val="0"/>
                <w:bCs w:val="0"/>
                <w:i w:val="0"/>
                <w:iCs w:val="0"/>
                <w:caps w:val="0"/>
                <w:smallCaps w:val="0"/>
                <w:vanish w:val="0"/>
                <w:color w:val="auto"/>
                <w:spacing w:val="0"/>
                <w:sz w:val="21"/>
                <w:szCs w:val="21"/>
                <w:u w:val="none"/>
              </w:rPr>
              <w:fldChar w:fldCharType="end"/>
            </w:r>
            <w:r>
              <w:rPr>
                <w:rFonts w:ascii="宋体" w:eastAsia="宋体" w:hint="eastAsia"/>
                <w:b w:val="0"/>
                <w:bCs w:val="0"/>
                <w:i w:val="0"/>
                <w:iCs w:val="0"/>
                <w:caps w:val="0"/>
                <w:smallCaps w:val="0"/>
                <w:vanish w:val="0"/>
                <w:spacing w:val="0"/>
                <w:sz w:val="21"/>
                <w:szCs w:val="21"/>
              </w:rPr>
              <w:t>。</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各相关职能部门</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667"/>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14.</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宋体" w:eastAsia="宋体" w:hint="eastAsia"/>
                <w:b w:val="0"/>
                <w:bCs w:val="0"/>
                <w:i w:val="0"/>
                <w:iCs w:val="0"/>
                <w:caps w:val="0"/>
                <w:smallCaps w:val="0"/>
                <w:vanish w:val="0"/>
                <w:color w:val="auto"/>
                <w:spacing w:val="0"/>
                <w:sz w:val="21"/>
                <w:szCs w:val="21"/>
                <w:u w:val="none"/>
              </w:rPr>
              <w:fldChar w:fldCharType="begin"/>
            </w:r>
            <w:r>
              <w:instrText>HYPERLINK "http://manzhouli.customs.gov.cn/manzhouli_customs/566020/3392762/566039/4144439/4144518/index.html"</w:instrText>
            </w:r>
            <w:r>
              <w:rPr>
                <w:rStyle w:val="15"/>
                <w:rFonts w:ascii="宋体" w:eastAsia="宋体" w:hint="eastAsia"/>
                <w:b w:val="0"/>
                <w:bCs w:val="0"/>
                <w:i w:val="0"/>
                <w:iCs w:val="0"/>
                <w:caps w:val="0"/>
                <w:smallCaps w:val="0"/>
                <w:vanish w:val="0"/>
                <w:color w:val="auto"/>
                <w:spacing w:val="0"/>
                <w:sz w:val="21"/>
                <w:szCs w:val="21"/>
                <w:u w:val="none"/>
              </w:rPr>
              <w:fldChar w:fldCharType="separate"/>
            </w:r>
            <w:r>
              <w:rPr>
                <w:rStyle w:val="15"/>
                <w:rFonts w:ascii="宋体" w:eastAsia="宋体" w:hint="eastAsia"/>
                <w:b w:val="0"/>
                <w:bCs w:val="0"/>
                <w:i w:val="0"/>
                <w:iCs w:val="0"/>
                <w:caps w:val="0"/>
                <w:smallCaps w:val="0"/>
                <w:vanish w:val="0"/>
                <w:color w:val="auto"/>
                <w:spacing w:val="0"/>
                <w:sz w:val="21"/>
                <w:szCs w:val="21"/>
                <w:u w:val="none"/>
              </w:rPr>
              <w:t>行政执法统计年报</w:t>
            </w:r>
            <w:r>
              <w:rPr>
                <w:rStyle w:val="15"/>
                <w:rFonts w:ascii="宋体" w:eastAsia="宋体" w:hint="eastAsia"/>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行政执法统计年报。</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r>
              <w:rPr>
                <w:rFonts w:ascii="宋体" w:eastAsia="宋体"/>
                <w:b w:val="0"/>
                <w:bCs w:val="0"/>
                <w:i w:val="0"/>
                <w:iCs w:val="0"/>
                <w:caps w:val="0"/>
                <w:smallCaps w:val="0"/>
                <w:vanish w:val="0"/>
                <w:spacing w:val="0"/>
                <w:sz w:val="21"/>
                <w:szCs w:val="21"/>
              </w:rPr>
              <w:t>办公室</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954"/>
        </w:trPr>
        <w:tc>
          <w:tcPr>
            <w:tcW w:w="1961" w:type="dxa"/>
            <w:vMerge w:val="restart"/>
            <w:tcBorders>
              <w:top w:val="single" w:sz="8" w:space="0" w:color="auto"/>
              <w:left w:val="single" w:sz="8" w:space="0" w:color="auto"/>
              <w:bottom w:val="single" w:sz="8" w:space="0" w:color="auto"/>
              <w:right w:val="single" w:sz="8" w:space="0" w:color="auto"/>
              <w:tl2br w:val="nil"/>
              <w:tr2bl w:val="nil"/>
            </w:tcBorders>
            <w:vAlign w:val="center"/>
          </w:tcPr>
          <w:p>
            <w:pPr>
              <w:numPr>
                <w:ilvl w:val="0"/>
                <w:numId w:val="1"/>
              </w:numPr>
              <w:pBdr>
                <w:top w:val="none" w:sz="0" w:space="0" w:color="auto"/>
                <w:left w:val="none" w:sz="0" w:space="0" w:color="auto"/>
                <w:bottom w:val="none" w:sz="0" w:space="0" w:color="auto"/>
                <w:right w:val="none" w:sz="0" w:space="0" w:color="auto"/>
              </w:pBdr>
              <w:spacing w:before="100" w:beforeAutospacing="1" w:after="100" w:afterAutospacing="1"/>
              <w:ind w:left="36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七、其他对外管理服务事项</w:t>
            </w: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15.</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政务服务事项</w:t>
            </w:r>
          </w:p>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目录</w:t>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"http://www.customs.gov.cn/customs/302249/zfxxgk/zfxxgkml34/3729830/index.html"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海关政务服务事项目录清单</w:t>
            </w:r>
            <w:r>
              <w:rPr>
                <w:rStyle w:val="15"/>
                <w:rFonts w:ascii="Arial" w:hAnsi="Arial"/>
                <w:b w:val="0"/>
                <w:bCs w:val="0"/>
                <w:i w:val="0"/>
                <w:iCs w:val="0"/>
                <w:caps w:val="0"/>
                <w:smallCaps w:val="0"/>
                <w:vanish w:val="0"/>
                <w:color w:val="auto"/>
                <w:spacing w:val="0"/>
                <w:sz w:val="21"/>
                <w:szCs w:val="21"/>
                <w:u w:val="none"/>
              </w:rPr>
              <w:fldChar w:fldCharType="end"/>
            </w:r>
            <w:r>
              <w:rPr>
                <w:rFonts w:ascii="Arial" w:hAnsi="Arial"/>
                <w:b w:val="0"/>
                <w:bCs w:val="0"/>
                <w:i w:val="0"/>
                <w:iCs w:val="0"/>
                <w:caps w:val="0"/>
                <w:smallCaps w:val="0"/>
                <w:vanish w:val="0"/>
                <w:spacing w:val="0"/>
                <w:sz w:val="21"/>
                <w:szCs w:val="21"/>
              </w:rPr>
              <w:t>。</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法规处</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1334"/>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16.</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"http://manzhouli.customs.gov.cn/manzhouli_customs/566047/566049/3029321/index.html"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办事指南</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满洲里海关本级承担的政务服务事项的依据、条件、程序等。</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承担政务服务事项的部门</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通过门户网站“在线服务”栏目对外提供</w:t>
            </w:r>
          </w:p>
        </w:tc>
      </w:tr>
      <w:tr>
        <w:trPr>
          <w:trHeight w:val="954"/>
        </w:trPr>
        <w:tc>
          <w:tcPr>
            <w:tcW w:w="1961" w:type="dxa"/>
            <w:vMerge w:val="restart"/>
            <w:tcBorders>
              <w:top w:val="single" w:sz="8" w:space="0" w:color="auto"/>
              <w:left w:val="single" w:sz="8" w:space="0" w:color="auto"/>
              <w:bottom w:val="single" w:sz="8" w:space="0" w:color="auto"/>
              <w:right w:val="single" w:sz="8" w:space="0" w:color="auto"/>
              <w:tl2br w:val="nil"/>
              <w:tr2bl w:val="nil"/>
            </w:tcBorders>
            <w:vAlign w:val="center"/>
          </w:tcPr>
          <w:p>
            <w:pPr>
              <w:numPr>
                <w:ilvl w:val="0"/>
                <w:numId w:val="1"/>
              </w:numPr>
              <w:pBdr>
                <w:top w:val="none" w:sz="0" w:space="0" w:color="auto"/>
                <w:left w:val="none" w:sz="0" w:space="0" w:color="auto"/>
                <w:bottom w:val="none" w:sz="0" w:space="0" w:color="auto"/>
                <w:right w:val="none" w:sz="0" w:space="0" w:color="auto"/>
              </w:pBdr>
              <w:spacing w:before="100" w:beforeAutospacing="1" w:after="100" w:afterAutospacing="1"/>
              <w:ind w:left="36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八、财务信息</w:t>
            </w: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17.</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"http://manzhouli.customs.gov.cn/manzhouli_customs/566020/3392762/2608419/index.html"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预决算信息</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满洲里本级及各隶属单位的预算、决算信息。</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财务处</w:t>
            </w:r>
          </w:p>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各隶属海关</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1001"/>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18.</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"http://manzhouli.customs.gov.cn/manzhouli_customs/566020/3392762/4001845/index.html"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收费信息</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满洲里海关行政事业性收费项目信息；隶属事业单位、社会团体经营服务性收费项目信息。</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财务处</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1001"/>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19.</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"http://manzhouli.customs.gov.cn/manzhouli_customs/566020/3392762/566029/index.html"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拍卖信息</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拍卖的时间、地点，拍卖标的，拍卖标的的展示时间、地点，参与竞买应当办理的手续及其他需要公告的事项。</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财务处</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333"/>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vMerge w:val="restart"/>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20.</w:t>
            </w:r>
          </w:p>
        </w:tc>
        <w:tc>
          <w:tcPr>
            <w:tcW w:w="1578" w:type="dxa"/>
            <w:vMerge w:val="restart"/>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"http://manzhouli.customs.gov.cn/manzhouli_customs/566020/3392762/566026/index.html"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政府采购</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vMerge w:val="restart"/>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满洲里海关本级政府采购意向和实施情况。</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财务处</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333"/>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1578"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13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后勤管理中心</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333"/>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21.</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"http://www.customs.gov.cn/customs/302249/zfxxgk/zfxxgkml34/3684029zwgk/index.html"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涉企保证金</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海关涉企保证金目录清单。</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财务处</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1668"/>
        </w:trPr>
        <w:tc>
          <w:tcPr>
            <w:tcW w:w="1961" w:type="dxa"/>
            <w:tcBorders>
              <w:top w:val="single" w:sz="8" w:space="0" w:color="auto"/>
              <w:left w:val="single" w:sz="8" w:space="0" w:color="auto"/>
              <w:bottom w:val="single" w:sz="8" w:space="0" w:color="auto"/>
              <w:right w:val="single" w:sz="8" w:space="0" w:color="auto"/>
              <w:tl2br w:val="nil"/>
              <w:tr2bl w:val="nil"/>
            </w:tcBorders>
            <w:vAlign w:val="center"/>
          </w:tcPr>
          <w:p>
            <w:pPr>
              <w:numPr>
                <w:ilvl w:val="0"/>
                <w:numId w:val="1"/>
              </w:numPr>
              <w:pBdr>
                <w:top w:val="none" w:sz="0" w:space="0" w:color="auto"/>
                <w:left w:val="none" w:sz="0" w:space="0" w:color="auto"/>
                <w:bottom w:val="none" w:sz="0" w:space="0" w:color="auto"/>
                <w:right w:val="none" w:sz="0" w:space="0" w:color="auto"/>
              </w:pBdr>
              <w:spacing w:before="100" w:beforeAutospacing="1" w:after="100" w:afterAutospacing="1"/>
              <w:ind w:left="36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九、企业管理</w:t>
            </w: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22.</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"http://credit.customs.gov.cn/"</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海关企业</w:t>
            </w:r>
            <w:r>
              <w:rPr>
                <w:rStyle w:val="15"/>
                <w:rFonts w:ascii="Arial" w:hAnsi="Arial"/>
                <w:b w:val="0"/>
                <w:bCs w:val="0"/>
                <w:i w:val="0"/>
                <w:iCs w:val="0"/>
                <w:caps w:val="0"/>
                <w:smallCaps w:val="0"/>
                <w:vanish w:val="0"/>
                <w:color w:val="auto"/>
                <w:spacing w:val="0"/>
                <w:sz w:val="21"/>
                <w:szCs w:val="21"/>
                <w:u w:val="none"/>
              </w:rPr>
              <w:fldChar w:fldCharType="end"/>
            </w:r>
          </w:p>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"http://credit.customs.gov.cn/"</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信用管理</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"http://credit.customs.gov.cn/"</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企业进出口信用信息公示。</w:t>
            </w:r>
            <w:r>
              <w:rPr>
                <w:rStyle w:val="15"/>
                <w:rFonts w:ascii="Arial" w:hAnsi="Arial"/>
                <w:b w:val="0"/>
                <w:bCs w:val="0"/>
                <w:i w:val="0"/>
                <w:iCs w:val="0"/>
                <w:caps w:val="0"/>
                <w:smallCaps w:val="0"/>
                <w:vanish w:val="0"/>
                <w:color w:val="auto"/>
                <w:spacing w:val="0"/>
                <w:sz w:val="21"/>
                <w:szCs w:val="21"/>
                <w:u w:val="none"/>
              </w:rPr>
              <w:fldChar w:fldCharType="end"/>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稽查处</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通过“中国海关企业进出口信用信息公示平台”公示</w:t>
            </w:r>
          </w:p>
        </w:tc>
      </w:tr>
      <w:tr>
        <w:trPr>
          <w:trHeight w:val="667"/>
        </w:trPr>
        <w:tc>
          <w:tcPr>
            <w:tcW w:w="1961" w:type="dxa"/>
            <w:vMerge w:val="restart"/>
            <w:tcBorders>
              <w:top w:val="single" w:sz="8" w:space="0" w:color="auto"/>
              <w:left w:val="single" w:sz="8" w:space="0" w:color="auto"/>
              <w:bottom w:val="single" w:sz="8" w:space="0" w:color="auto"/>
              <w:right w:val="single" w:sz="8" w:space="0" w:color="auto"/>
              <w:tl2br w:val="nil"/>
              <w:tr2bl w:val="nil"/>
            </w:tcBorders>
            <w:vAlign w:val="center"/>
          </w:tcPr>
          <w:p>
            <w:pPr>
              <w:numPr>
                <w:ilvl w:val="0"/>
                <w:numId w:val="1"/>
              </w:numPr>
              <w:pBdr>
                <w:top w:val="none" w:sz="0" w:space="0" w:color="auto"/>
                <w:left w:val="none" w:sz="0" w:space="0" w:color="auto"/>
                <w:bottom w:val="none" w:sz="0" w:space="0" w:color="auto"/>
                <w:right w:val="none" w:sz="0" w:space="0" w:color="auto"/>
              </w:pBdr>
              <w:spacing w:before="100" w:beforeAutospacing="1" w:after="100" w:afterAutospacing="1"/>
              <w:ind w:left="36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十、综合管理</w:t>
            </w: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23.</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"http://manzhouli.customs.gov.cn/manzhouli_customs/566020/3392762/566030/566031/index.html"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人事管理</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"http://manzhouli.customs.gov.cn/manzhouli_customs/566020/3392762/566030/566031/index.html"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公务员招考、录用信息</w:t>
            </w:r>
            <w:r>
              <w:rPr>
                <w:rStyle w:val="15"/>
                <w:rFonts w:ascii="Arial" w:hAnsi="Arial"/>
                <w:b w:val="0"/>
                <w:bCs w:val="0"/>
                <w:i w:val="0"/>
                <w:iCs w:val="0"/>
                <w:caps w:val="0"/>
                <w:smallCaps w:val="0"/>
                <w:vanish w:val="0"/>
                <w:color w:val="auto"/>
                <w:spacing w:val="0"/>
                <w:sz w:val="21"/>
                <w:szCs w:val="21"/>
                <w:u w:val="none"/>
              </w:rPr>
              <w:fldChar w:fldCharType="end"/>
            </w:r>
            <w:r>
              <w:rPr>
                <w:rFonts w:ascii="Arial" w:hAnsi="Arial"/>
                <w:b w:val="0"/>
                <w:bCs w:val="0"/>
                <w:i w:val="0"/>
                <w:iCs w:val="0"/>
                <w:caps w:val="0"/>
                <w:smallCaps w:val="0"/>
                <w:vanish w:val="0"/>
                <w:spacing w:val="0"/>
                <w:sz w:val="21"/>
                <w:szCs w:val="21"/>
              </w:rPr>
              <w:t>；</w:t>
            </w: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"http://manzhouli.customs.gov.cn/manzhouli_customs/566020/3392762/566030/4002367/index.html"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事业单位公开招聘、聘用信息</w:t>
            </w:r>
            <w:r>
              <w:rPr>
                <w:rStyle w:val="15"/>
                <w:rFonts w:ascii="Arial" w:hAnsi="Arial"/>
                <w:b w:val="0"/>
                <w:bCs w:val="0"/>
                <w:i w:val="0"/>
                <w:iCs w:val="0"/>
                <w:caps w:val="0"/>
                <w:smallCaps w:val="0"/>
                <w:vanish w:val="0"/>
                <w:color w:val="auto"/>
                <w:spacing w:val="0"/>
                <w:sz w:val="21"/>
                <w:szCs w:val="21"/>
                <w:u w:val="none"/>
              </w:rPr>
              <w:fldChar w:fldCharType="end"/>
            </w:r>
            <w:r>
              <w:rPr>
                <w:rFonts w:ascii="Arial" w:hAnsi="Arial"/>
                <w:b w:val="0"/>
                <w:bCs w:val="0"/>
                <w:i w:val="0"/>
                <w:iCs w:val="0"/>
                <w:caps w:val="0"/>
                <w:smallCaps w:val="0"/>
                <w:vanish w:val="0"/>
                <w:spacing w:val="0"/>
                <w:sz w:val="21"/>
                <w:szCs w:val="21"/>
              </w:rPr>
              <w:t>。</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人教处</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333"/>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24.</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"http://manzhouli.customs.gov.cn/manzhouli_customs/566020/3392762/3312180/index.html"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应急管理</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突发公共事件的应急预案。</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预案制定部门</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1001"/>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25.</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"http://manzhouli.customs.gov.cn/manzhouli_customs/566020/3392762/2062247/index.html"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建议提案答复</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由满洲里海关主办答复、可以对外公开的内蒙古自治区人大代表建议复文和内蒙古自治区政协委员提案复文。</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办公室</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667"/>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26.</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"http://manzhouli.customs.gov.cn/manzhouli_customs/566020/3392762/3393934/zcjd40/3364870/index.html"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政策解读</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满洲里海关重要规范性文件以及事关群众关切事项的解读信息。</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政策发布部门</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954"/>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27.</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"http://manzhouli.customs.gov.cn/manzhouli_customs/566015/566016/index.html"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新闻动态</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满洲里海关本关动态、新闻、媒体报道等。</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办公室</w:t>
            </w:r>
          </w:p>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各单位、各部门</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门户网站“新闻动态”栏目</w:t>
            </w:r>
          </w:p>
        </w:tc>
      </w:tr>
      <w:tr>
        <w:trPr>
          <w:trHeight w:val="1001"/>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28.</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"http://manzhouli.customs.gov.cn/manzhouli_customs/566020/566037/index.html"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政府信息公开相关信息</w:t>
            </w:r>
            <w:r>
              <w:rPr>
                <w:rStyle w:val="15"/>
                <w:rFonts w:ascii="Arial" w:hAnsi="Arial"/>
                <w:b w:val="0"/>
                <w:bCs w:val="0"/>
                <w:i w:val="0"/>
                <w:iCs w:val="0"/>
                <w:caps w:val="0"/>
                <w:smallCaps w:val="0"/>
                <w:vanish w:val="0"/>
                <w:color w:val="auto"/>
                <w:spacing w:val="0"/>
                <w:sz w:val="21"/>
                <w:szCs w:val="21"/>
                <w:u w:val="none"/>
              </w:rPr>
              <w:fldChar w:fldCharType="end"/>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满洲里海关政府信息公开指南、目录、年度报告、年度工作要点、依申请公开办理程序等信息。</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办公室</w:t>
            </w:r>
          </w:p>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各隶属海关</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r>
        <w:trPr>
          <w:trHeight w:val="1001"/>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vMerge w:val="restart"/>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29.</w:t>
            </w:r>
          </w:p>
        </w:tc>
        <w:tc>
          <w:tcPr>
            <w:tcW w:w="1578" w:type="dxa"/>
            <w:vMerge w:val="restart"/>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公众参与</w:t>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满洲里海关</w:t>
            </w: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"http://manzhouli.customs.gov.cn/manzhouli_customs/566053/566057/566058/index.html"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信访工作</w:t>
            </w:r>
            <w:r>
              <w:rPr>
                <w:rStyle w:val="15"/>
                <w:rFonts w:ascii="Arial" w:hAnsi="Arial"/>
                <w:b w:val="0"/>
                <w:bCs w:val="0"/>
                <w:i w:val="0"/>
                <w:iCs w:val="0"/>
                <w:caps w:val="0"/>
                <w:smallCaps w:val="0"/>
                <w:vanish w:val="0"/>
                <w:color w:val="auto"/>
                <w:spacing w:val="0"/>
                <w:sz w:val="21"/>
                <w:szCs w:val="21"/>
                <w:u w:val="none"/>
              </w:rPr>
              <w:fldChar w:fldCharType="end"/>
            </w:r>
            <w:r>
              <w:rPr>
                <w:rFonts w:ascii="Arial" w:hAnsi="Arial"/>
                <w:b w:val="0"/>
                <w:bCs w:val="0"/>
                <w:i w:val="0"/>
                <w:iCs w:val="0"/>
                <w:caps w:val="0"/>
                <w:smallCaps w:val="0"/>
                <w:vanish w:val="0"/>
                <w:spacing w:val="0"/>
                <w:sz w:val="21"/>
                <w:szCs w:val="21"/>
              </w:rPr>
              <w:t>机构通信地址、接待时间和地点、信访指南；</w:t>
            </w: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"http://manzhouli.customs.gov.cn/manzhouli_customs/566053/566063/index.html"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业务咨询服务渠道</w:t>
            </w:r>
            <w:r>
              <w:rPr>
                <w:rStyle w:val="15"/>
                <w:rFonts w:ascii="Arial" w:hAnsi="Arial"/>
                <w:b w:val="0"/>
                <w:bCs w:val="0"/>
                <w:i w:val="0"/>
                <w:iCs w:val="0"/>
                <w:caps w:val="0"/>
                <w:smallCaps w:val="0"/>
                <w:vanish w:val="0"/>
                <w:color w:val="auto"/>
                <w:spacing w:val="0"/>
                <w:sz w:val="21"/>
                <w:szCs w:val="21"/>
                <w:u w:val="none"/>
              </w:rPr>
              <w:fldChar w:fldCharType="end"/>
            </w:r>
            <w:r>
              <w:rPr>
                <w:rFonts w:ascii="Arial" w:hAnsi="Arial"/>
                <w:b w:val="0"/>
                <w:bCs w:val="0"/>
                <w:i w:val="0"/>
                <w:iCs w:val="0"/>
                <w:caps w:val="0"/>
                <w:smallCaps w:val="0"/>
                <w:vanish w:val="0"/>
                <w:spacing w:val="0"/>
                <w:sz w:val="21"/>
                <w:szCs w:val="21"/>
              </w:rPr>
              <w:t>；</w:t>
            </w: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"http://manzhouli.customs.gov.cn/manzhouli_customs/566053/566085/index.htm"</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12360热线服务信息</w:t>
            </w:r>
            <w:r>
              <w:rPr>
                <w:rStyle w:val="15"/>
                <w:rFonts w:ascii="Arial" w:hAnsi="Arial"/>
                <w:b w:val="0"/>
                <w:bCs w:val="0"/>
                <w:i w:val="0"/>
                <w:iCs w:val="0"/>
                <w:caps w:val="0"/>
                <w:smallCaps w:val="0"/>
                <w:vanish w:val="0"/>
                <w:color w:val="auto"/>
                <w:spacing w:val="0"/>
                <w:sz w:val="21"/>
                <w:szCs w:val="21"/>
                <w:u w:val="none"/>
              </w:rPr>
              <w:fldChar w:fldCharType="end"/>
            </w:r>
            <w:r>
              <w:rPr>
                <w:rFonts w:ascii="Arial" w:hAnsi="Arial"/>
                <w:b w:val="0"/>
                <w:bCs w:val="0"/>
                <w:i w:val="0"/>
                <w:iCs w:val="0"/>
                <w:caps w:val="0"/>
                <w:smallCaps w:val="0"/>
                <w:vanish w:val="0"/>
                <w:spacing w:val="0"/>
                <w:sz w:val="21"/>
                <w:szCs w:val="21"/>
              </w:rPr>
              <w:t>。</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办公室</w:t>
            </w:r>
          </w:p>
        </w:tc>
        <w:tc>
          <w:tcPr>
            <w:tcW w:w="1260" w:type="dxa"/>
            <w:vMerge w:val="restart"/>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门户网站“互动交流”栏目</w:t>
            </w:r>
          </w:p>
        </w:tc>
      </w:tr>
      <w:tr>
        <w:trPr>
          <w:trHeight w:val="333"/>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1578"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"http://manzhouli.customs.gov.cn/manzhouli_customs/566053/566057/566059/index.html"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廉政举报渠道</w:t>
            </w:r>
            <w:r>
              <w:rPr>
                <w:rStyle w:val="15"/>
                <w:rFonts w:ascii="Arial" w:hAnsi="Arial"/>
                <w:b w:val="0"/>
                <w:bCs w:val="0"/>
                <w:i w:val="0"/>
                <w:iCs w:val="0"/>
                <w:caps w:val="0"/>
                <w:smallCaps w:val="0"/>
                <w:vanish w:val="0"/>
                <w:color w:val="auto"/>
                <w:spacing w:val="0"/>
                <w:sz w:val="21"/>
                <w:szCs w:val="21"/>
                <w:u w:val="none"/>
              </w:rPr>
              <w:fldChar w:fldCharType="end"/>
            </w:r>
            <w:r>
              <w:rPr>
                <w:rFonts w:ascii="Arial" w:hAnsi="Arial"/>
                <w:b w:val="0"/>
                <w:bCs w:val="0"/>
                <w:i w:val="0"/>
                <w:iCs w:val="0"/>
                <w:caps w:val="0"/>
                <w:smallCaps w:val="0"/>
                <w:vanish w:val="0"/>
                <w:spacing w:val="0"/>
                <w:sz w:val="21"/>
                <w:szCs w:val="21"/>
              </w:rPr>
              <w:t>。</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监察室</w:t>
            </w:r>
          </w:p>
        </w:tc>
        <w:tc>
          <w:tcPr>
            <w:tcW w:w="1260" w:type="dxa"/>
            <w:vMerge/>
            <w:tcBorders>
              <w:top w:val="single" w:sz="8" w:space="0" w:color="auto"/>
              <w:left w:val="single" w:sz="8" w:space="0" w:color="auto"/>
              <w:bottom w:val="single" w:sz="8" w:space="0" w:color="auto"/>
              <w:right w:val="single" w:sz="8" w:space="0" w:color="auto"/>
              <w:tl2br w:val="nil"/>
              <w:tr2bl w:val="nil"/>
            </w:tcBorders>
            <w:vAlign w:val="center"/>
          </w:tcPr>
          <w:p/>
        </w:tc>
      </w:tr>
      <w:tr>
        <w:trPr>
          <w:trHeight w:val="333"/>
        </w:trPr>
        <w:tc>
          <w:tcPr>
            <w:tcW w:w="1961"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49"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1578"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Style w:val="15"/>
                <w:rFonts w:ascii="Arial" w:hAnsi="Arial"/>
                <w:b w:val="0"/>
                <w:bCs w:val="0"/>
                <w:i w:val="0"/>
                <w:iCs w:val="0"/>
                <w:caps w:val="0"/>
                <w:smallCaps w:val="0"/>
                <w:vanish w:val="0"/>
                <w:color w:val="auto"/>
                <w:spacing w:val="0"/>
                <w:sz w:val="21"/>
                <w:szCs w:val="21"/>
                <w:u w:val="none"/>
              </w:rPr>
              <w:fldChar w:fldCharType="begin"/>
            </w:r>
            <w:r>
              <w:instrText>HYPERLINK "http://manzhouli.customs.gov.cn/manzhouli_customs/566053/566057/566060/index.html"</w:instrText>
            </w:r>
            <w:r>
              <w:rPr>
                <w:rStyle w:val="15"/>
                <w:rFonts w:ascii="Arial" w:hAnsi="Arial"/>
                <w:b w:val="0"/>
                <w:bCs w:val="0"/>
                <w:i w:val="0"/>
                <w:iCs w:val="0"/>
                <w:caps w:val="0"/>
                <w:smallCaps w:val="0"/>
                <w:vanish w:val="0"/>
                <w:color w:val="auto"/>
                <w:spacing w:val="0"/>
                <w:sz w:val="21"/>
                <w:szCs w:val="21"/>
                <w:u w:val="none"/>
              </w:rPr>
              <w:fldChar w:fldCharType="separate"/>
            </w:r>
            <w:r>
              <w:rPr>
                <w:rStyle w:val="15"/>
                <w:rFonts w:ascii="Arial" w:hAnsi="Arial"/>
                <w:b w:val="0"/>
                <w:bCs w:val="0"/>
                <w:i w:val="0"/>
                <w:iCs w:val="0"/>
                <w:caps w:val="0"/>
                <w:smallCaps w:val="0"/>
                <w:vanish w:val="0"/>
                <w:color w:val="auto"/>
                <w:spacing w:val="0"/>
                <w:sz w:val="21"/>
                <w:szCs w:val="21"/>
                <w:u w:val="none"/>
              </w:rPr>
              <w:t>走私违规举报渠道</w:t>
            </w:r>
            <w:r>
              <w:rPr>
                <w:rStyle w:val="15"/>
                <w:rFonts w:ascii="Arial" w:hAnsi="Arial"/>
                <w:b w:val="0"/>
                <w:bCs w:val="0"/>
                <w:i w:val="0"/>
                <w:iCs w:val="0"/>
                <w:caps w:val="0"/>
                <w:smallCaps w:val="0"/>
                <w:vanish w:val="0"/>
                <w:color w:val="auto"/>
                <w:spacing w:val="0"/>
                <w:sz w:val="21"/>
                <w:szCs w:val="21"/>
                <w:u w:val="none"/>
              </w:rPr>
              <w:fldChar w:fldCharType="end"/>
            </w:r>
            <w:r>
              <w:rPr>
                <w:rFonts w:ascii="Arial" w:hAnsi="Arial"/>
                <w:b w:val="0"/>
                <w:bCs w:val="0"/>
                <w:i w:val="0"/>
                <w:iCs w:val="0"/>
                <w:caps w:val="0"/>
                <w:smallCaps w:val="0"/>
                <w:vanish w:val="0"/>
                <w:spacing w:val="0"/>
                <w:sz w:val="21"/>
                <w:szCs w:val="21"/>
              </w:rPr>
              <w:t>。</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缉私局</w:t>
            </w:r>
          </w:p>
        </w:tc>
        <w:tc>
          <w:tcPr>
            <w:tcW w:w="1260" w:type="dxa"/>
            <w:vMerge/>
            <w:tcBorders>
              <w:top w:val="single" w:sz="8" w:space="0" w:color="auto"/>
              <w:left w:val="single" w:sz="8" w:space="0" w:color="auto"/>
              <w:bottom w:val="single" w:sz="8" w:space="0" w:color="auto"/>
              <w:right w:val="single" w:sz="8" w:space="0" w:color="auto"/>
              <w:tl2br w:val="nil"/>
              <w:tr2bl w:val="nil"/>
            </w:tcBorders>
            <w:vAlign w:val="center"/>
          </w:tcPr>
          <w:p/>
        </w:tc>
      </w:tr>
      <w:tr>
        <w:trPr>
          <w:trHeight w:val="1334"/>
        </w:trPr>
        <w:tc>
          <w:tcPr>
            <w:tcW w:w="1961" w:type="dxa"/>
            <w:tcBorders>
              <w:top w:val="single" w:sz="8" w:space="0" w:color="auto"/>
              <w:left w:val="single" w:sz="8" w:space="0" w:color="auto"/>
              <w:bottom w:val="single" w:sz="8" w:space="0" w:color="auto"/>
              <w:right w:val="single" w:sz="8" w:space="0" w:color="auto"/>
              <w:tl2br w:val="nil"/>
              <w:tr2bl w:val="nil"/>
            </w:tcBorders>
            <w:vAlign w:val="center"/>
          </w:tcPr>
          <w:p>
            <w:pPr>
              <w:numPr>
                <w:ilvl w:val="0"/>
                <w:numId w:val="1"/>
              </w:numPr>
              <w:pBdr>
                <w:top w:val="none" w:sz="0" w:space="0" w:color="auto"/>
                <w:left w:val="none" w:sz="0" w:space="0" w:color="auto"/>
                <w:bottom w:val="none" w:sz="0" w:space="0" w:color="auto"/>
                <w:right w:val="none" w:sz="0" w:space="0" w:color="auto"/>
              </w:pBdr>
              <w:spacing w:before="100" w:beforeAutospacing="1" w:after="100" w:afterAutospacing="1"/>
              <w:ind w:left="36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十一、其他依法应当主动公开的海关政府信息</w:t>
            </w:r>
          </w:p>
        </w:tc>
        <w:tc>
          <w:tcPr>
            <w:tcW w:w="449" w:type="dxa"/>
            <w:tcBorders>
              <w:top w:val="single" w:sz="8" w:space="0" w:color="auto"/>
              <w:left w:val="single" w:sz="8" w:space="0" w:color="auto"/>
              <w:bottom w:val="single" w:sz="8" w:space="0" w:color="auto"/>
              <w:right w:val="single" w:sz="8" w:space="0" w:color="auto"/>
              <w:tl2br w:val="nil"/>
              <w:tr2bl w:val="nil"/>
            </w:tcBorders>
            <w:vAlign w:val="center"/>
          </w:tcPr>
          <w:p>
            <w:pPr>
              <w:pBdr>
                <w:top w:val="none" w:sz="0" w:space="0" w:color="auto"/>
                <w:left w:val="none" w:sz="0" w:space="0" w:color="auto"/>
                <w:bottom w:val="none" w:sz="0" w:space="0" w:color="auto"/>
                <w:right w:val="none" w:sz="0" w:space="0" w:color="auto"/>
              </w:pBdr>
              <w:ind w:left="0" w:firstLine="0"/>
              <w:jc w:val="center"/>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30.</w:t>
            </w:r>
          </w:p>
        </w:tc>
        <w:tc>
          <w:tcPr>
            <w:tcW w:w="1578"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其他</w:t>
            </w:r>
          </w:p>
        </w:tc>
        <w:tc>
          <w:tcPr>
            <w:tcW w:w="4131"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按照法律、法规、规章和国家有关规定，满洲里海关在依法履职和对外服务过程中，其他应当主动对外公开的海关政府信息。</w:t>
            </w:r>
          </w:p>
        </w:tc>
        <w:tc>
          <w:tcPr>
            <w:tcW w:w="1380" w:type="dxa"/>
            <w:tcBorders>
              <w:top w:val="single" w:sz="8" w:space="0" w:color="auto"/>
              <w:left w:val="single" w:sz="8" w:space="0" w:color="auto"/>
              <w:bottom w:val="single" w:sz="8" w:space="0" w:color="auto"/>
              <w:right w:val="single" w:sz="8" w:space="0" w:color="auto"/>
              <w:tl2br w:val="nil"/>
              <w:tr2bl w:val="nil"/>
            </w:tcBorders>
            <w:vAlign w:val="center"/>
          </w:tcPr>
          <w:p>
            <w:pPr>
              <w:pStyle w:val="18"/>
              <w:ind w:left="0" w:firstLine="0"/>
              <w:rPr>
                <w:rFonts w:ascii="Arial" w:hAnsi="Arial"/>
                <w:b w:val="0"/>
                <w:bCs w:val="0"/>
                <w:i w:val="0"/>
                <w:iCs w:val="0"/>
                <w:caps w:val="0"/>
                <w:smallCaps w:val="0"/>
                <w:vanish w:val="0"/>
                <w:spacing w:val="0"/>
                <w:sz w:val="21"/>
                <w:szCs w:val="21"/>
              </w:rPr>
            </w:pPr>
            <w:r>
              <w:rPr>
                <w:rFonts w:ascii="Arial" w:hAnsi="Arial"/>
                <w:b w:val="0"/>
                <w:bCs w:val="0"/>
                <w:i w:val="0"/>
                <w:iCs w:val="0"/>
                <w:caps w:val="0"/>
                <w:smallCaps w:val="0"/>
                <w:vanish w:val="0"/>
                <w:spacing w:val="0"/>
                <w:sz w:val="21"/>
                <w:szCs w:val="21"/>
              </w:rPr>
              <w:t>各单位、各部门</w:t>
            </w:r>
          </w:p>
        </w:tc>
        <w:tc>
          <w:tcPr>
            <w:tcW w:w="1260" w:type="dxa"/>
            <w:tcBorders>
              <w:top w:val="single" w:sz="8" w:space="0" w:color="auto"/>
              <w:left w:val="single" w:sz="8" w:space="0" w:color="auto"/>
              <w:bottom w:val="single" w:sz="8" w:space="0" w:color="auto"/>
              <w:right w:val="single" w:sz="8" w:space="0" w:color="auto"/>
              <w:tl2br w:val="nil"/>
              <w:tr2bl w:val="nil"/>
            </w:tcBorders>
            <w:vAlign w:val="center"/>
          </w:tcPr>
          <w:p>
            <w:pPr>
              <w:ind w:left="0" w:firstLine="0"/>
              <w:rPr>
                <w:rFonts w:ascii="Arial" w:hAnsi="Arial"/>
                <w:b w:val="0"/>
                <w:bCs w:val="0"/>
                <w:i w:val="0"/>
                <w:iCs w:val="0"/>
                <w:caps w:val="0"/>
                <w:smallCaps w:val="0"/>
                <w:vanish w:val="0"/>
                <w:spacing w:val="0"/>
                <w:sz w:val="21"/>
                <w:szCs w:val="21"/>
              </w:rPr>
            </w:pPr>
          </w:p>
        </w:tc>
      </w:tr>
    </w:tbl>
    <w:p>
      <w:pPr>
        <w:pStyle w:val="2"/>
        <w:shd w:val="clear" w:color="auto" w:fill="FFFFFF"/>
        <w:spacing w:before="0" w:beforeAutospacing="0" w:after="0" w:afterAutospacing="0" w:line="839" w:lineRule="atLeast"/>
        <w:ind w:left="0" w:firstLine="0"/>
        <w:jc w:val="both"/>
      </w:pPr>
    </w:p>
    <w:sectPr>
      <w:pgSz w:w="11907" w:h="16839"/>
      <w:pgMar w:top="1440" w:right="1800" w:bottom="1440" w:left="1800" w:header="851" w:footer="992" w:gutter="0"/>
      <w:docGrid w:type="lines" w:linePitch="326"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方正黑体_GBK">
    <w:panose1 w:val="03000509000000000000"/>
    <w:charset w:val="86"/>
    <w:family w:val="script"/>
    <w:pitch w:val="variable"/>
    <w:sig w:usb0="00000001" w:usb1="080E0000" w:usb2="00000000" w:usb3="00000000" w:csb0="00040000" w:csb1="00000000"/>
  </w:font>
  <w:font w:name="Arial">
    <w:panose1 w:val="020B0604020202020204"/>
    <w:charset w:val="00"/>
    <w:family w:val="auto"/>
    <w:pitch w:val="variable"/>
    <w:sig w:usb0="00007A87" w:usb1="80000000" w:usb2="00000008" w:usb3="00000000" w:csb0="400001FF" w:csb1="FFFF0000"/>
  </w:font>
  <w:font w:name="宋体">
    <w:panose1 w:val="02010600030101010101"/>
    <w:charset w:val="86"/>
    <w:family w:val="auto"/>
    <w:pitch w:val="variable"/>
    <w:sig w:usb0="00000003" w:usb1="080E0000" w:usb2="00000000" w:usb3="00000000" w:csb0="00040001" w:csb1="00000000"/>
  </w:font>
  <w:font w:name="Symbol">
    <w:panose1 w:val="05050102010706020507"/>
    <w:charset w:val="02"/>
    <w:family w:val="auto"/>
    <w:pitch w:val="variable"/>
    <w:sig w:usb0="00000000" w:usb1="0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A"/>
    <w:multiLevelType w:val="hybridMultilevel"/>
    <w:tmpl w:val="00000000"/>
    <w:lvl w:ilvl="0">
      <w:start w:val="1"/>
      <w:numFmt w:val="bullet"/>
      <w:lvlRestart w:val="0"/>
      <w:lvlText w:val="·"/>
      <w:lvlJc w:val="left"/>
      <w:pPr>
        <w:tabs>
          <w:tab w:val="num" w:pos="720"/>
        </w:tabs>
        <w:ind w:left="720" w:hanging="360"/>
      </w:pPr>
      <w:rPr>
        <w:rFonts w:ascii="Symbol" w:hAnsi="Symbol" w:hint="default"/>
        <w:sz w:val="20"/>
      </w:rPr>
    </w:lvl>
    <w:lvl w:ilvl="1">
      <w:start w:val="1"/>
      <w:numFmt w:val="bullet"/>
      <w:lvlRestart w:val="0"/>
      <w:lvlText w:val="·"/>
      <w:lvlJc w:val="left"/>
      <w:pPr>
        <w:tabs>
          <w:tab w:val="num" w:pos="720"/>
        </w:tabs>
        <w:ind w:left="720" w:hanging="360"/>
      </w:pPr>
      <w:rPr>
        <w:rFonts w:ascii="Symbol" w:hAnsi="Symbol" w:hint="default"/>
        <w:sz w:val="20"/>
      </w:rPr>
    </w:lvl>
    <w:lvl w:ilvl="2">
      <w:start w:val="1"/>
      <w:numFmt w:val="bullet"/>
      <w:lvlRestart w:val="0"/>
      <w:lvlText w:val="·"/>
      <w:lvlJc w:val="left"/>
      <w:pPr>
        <w:tabs>
          <w:tab w:val="num" w:pos="720"/>
        </w:tabs>
        <w:ind w:left="720" w:hanging="360"/>
      </w:pPr>
      <w:rPr>
        <w:rFonts w:ascii="Symbol" w:hAnsi="Symbol" w:hint="default"/>
        <w:sz w:val="20"/>
      </w:rPr>
    </w:lvl>
    <w:lvl w:ilvl="3">
      <w:start w:val="1"/>
      <w:numFmt w:val="bullet"/>
      <w:lvlRestart w:val="0"/>
      <w:lvlText w:val="·"/>
      <w:lvlJc w:val="left"/>
      <w:pPr>
        <w:tabs>
          <w:tab w:val="num" w:pos="720"/>
        </w:tabs>
        <w:ind w:left="720" w:hanging="360"/>
      </w:pPr>
      <w:rPr>
        <w:rFonts w:ascii="Symbol" w:hAnsi="Symbol" w:hint="default"/>
        <w:sz w:val="20"/>
      </w:rPr>
    </w:lvl>
    <w:lvl w:ilvl="4">
      <w:start w:val="1"/>
      <w:numFmt w:val="bullet"/>
      <w:lvlRestart w:val="0"/>
      <w:lvlText w:val="·"/>
      <w:lvlJc w:val="left"/>
      <w:pPr>
        <w:tabs>
          <w:tab w:val="num" w:pos="720"/>
        </w:tabs>
        <w:ind w:left="720" w:hanging="360"/>
      </w:pPr>
      <w:rPr>
        <w:rFonts w:ascii="Symbol" w:hAnsi="Symbol" w:hint="default"/>
        <w:sz w:val="20"/>
      </w:rPr>
    </w:lvl>
    <w:lvl w:ilvl="5">
      <w:start w:val="1"/>
      <w:numFmt w:val="bullet"/>
      <w:lvlRestart w:val="0"/>
      <w:lvlText w:val="·"/>
      <w:lvlJc w:val="left"/>
      <w:pPr>
        <w:tabs>
          <w:tab w:val="num" w:pos="720"/>
        </w:tabs>
        <w:ind w:left="720" w:hanging="360"/>
      </w:pPr>
      <w:rPr>
        <w:rFonts w:ascii="Symbol" w:hAnsi="Symbol" w:hint="default"/>
        <w:sz w:val="20"/>
      </w:rPr>
    </w:lvl>
    <w:lvl w:ilvl="6">
      <w:start w:val="1"/>
      <w:numFmt w:val="bullet"/>
      <w:lvlRestart w:val="0"/>
      <w:lvlText w:val="·"/>
      <w:lvlJc w:val="left"/>
      <w:pPr>
        <w:tabs>
          <w:tab w:val="num" w:pos="720"/>
        </w:tabs>
        <w:ind w:left="720" w:hanging="360"/>
      </w:pPr>
      <w:rPr>
        <w:rFonts w:ascii="Symbol" w:hAnsi="Symbol" w:hint="default"/>
        <w:sz w:val="20"/>
      </w:rPr>
    </w:lvl>
    <w:lvl w:ilvl="7">
      <w:start w:val="1"/>
      <w:numFmt w:val="bullet"/>
      <w:lvlRestart w:val="0"/>
      <w:lvlText w:val="·"/>
      <w:lvlJc w:val="left"/>
      <w:pPr>
        <w:tabs>
          <w:tab w:val="num" w:pos="720"/>
        </w:tabs>
        <w:ind w:left="720" w:hanging="360"/>
      </w:pPr>
      <w:rPr>
        <w:rFonts w:ascii="Symbol" w:hAnsi="Symbol" w:hint="default"/>
        <w:sz w:val="20"/>
      </w:rPr>
    </w:lvl>
    <w:lvl w:ilvl="8">
      <w:start w:val="1"/>
      <w:numFmt w:val="bullet"/>
      <w:lvlRestart w:val="0"/>
      <w:lvlText w:val="·"/>
      <w:lvlJc w:val="left"/>
      <w:pPr>
        <w:tabs>
          <w:tab w:val="num" w:pos="720"/>
        </w:tabs>
        <w:ind w:left="720" w:hanging="360"/>
      </w:pPr>
      <w:rPr>
        <w:rFonts w:ascii="Symbol" w:hAnsi="Symbol" w:hint="default"/>
        <w:sz w:val="20"/>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3"/>
  <w:doNotDisplayPageBoundaries/>
  <w:displayBackgroundShape/>
  <w:bordersDoNotSurroundHeader/>
  <w:bordersDoNotSurroundFooter/>
  <w:defaultTabStop w:val="420"/>
  <w:drawingGridHorizontalSpacing w:val="120"/>
  <w:drawingGridVerticalSpacing w:val="163"/>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left"/>
    </w:pPr>
    <w:rPr>
      <w:rFonts w:ascii="宋体" w:eastAsia="宋体" w:cs="Times New Roman"/>
      <w:kern w:val="2"/>
      <w:sz w:val="24"/>
      <w:szCs w:val="21"/>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1"/>
    </w:pPr>
    <w:rPr>
      <w:rFonts w:ascii="宋体" w:eastAsia="宋体" w:cs="Times New Roman"/>
      <w:b/>
      <w:i w:val="0"/>
      <w:caps w:val="0"/>
      <w:smallCaps w:val="0"/>
      <w:strike w:val="0"/>
      <w:dstrike w:val="0"/>
      <w:snapToGrid/>
      <w:vanish w:val="0"/>
      <w:color w:val="auto"/>
      <w:spacing w:val="0"/>
      <w:w w:val="100"/>
      <w:kern w:val="0"/>
      <w:position w:val="0"/>
      <w:sz w:val="36"/>
      <w:szCs w:val="21"/>
      <w:u w:val="none" w:color="auto"/>
      <w:vertAlign w:val="baseline"/>
      <w:em w:val="none"/>
      <w:lang w:val="en-US" w:eastAsia="zh-CN" w:bidi="ar-SA"/>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character" w:styleId="15">
    <w:name w:val="Hyperlink"/>
    <w:rPr>
      <w:color w:val="0000FF"/>
      <w:u w:val="single"/>
    </w:rPr>
  </w:style>
  <w:style w:type="character" w:styleId="16">
    <w:name w:val="FollowedHyperlink"/>
    <w:basedOn w:val="10"/>
    <w:rPr>
      <w:color w:val="800080"/>
      <w:u w:val="single"/>
    </w:rPr>
  </w:style>
  <w:style w:type="character" w:styleId="17">
    <w:name w:val="Strong"/>
    <w:rPr>
      <w:b/>
    </w:rPr>
  </w:style>
  <w:style w:type="paragraph" w:styleId="18">
    <w:name w:val="Normal (Web)"/>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19">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20">
    <w:name w:val="样式 1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1">
    <w:name w:val="样式 2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2">
    <w:name w:val="样式 3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3">
    <w:name w:val="样式 4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4">
    <w:name w:val="样式 5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5">
    <w:name w:val="样式 6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6">
    <w:name w:val="样式 7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7">
    <w:name w:val="样式 8 小四"/>
    <w:pPr>
      <w:widowControl w:val="0"/>
      <w:spacing w:line="240" w:lineRule="auto"/>
      <w:jc w:val="left"/>
    </w:pPr>
    <w:rPr>
      <w:rFonts w:ascii="宋体" w:eastAsia="宋体" w:cs="Times New Roman"/>
      <w:kern w:val="2"/>
      <w:sz w:val="24"/>
      <w:szCs w:val="21"/>
      <w:lang w:val="en-US" w:eastAsia="zh-CN" w:bidi="ar-SA"/>
    </w:rPr>
  </w:style>
  <w:style w:type="paragraph" w:customStyle="1" w:styleId="28">
    <w:name w:val="样式 9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9">
    <w:name w:val="样式 10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0">
    <w:name w:val="样式 11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1">
    <w:name w:val="样式 12 小四"/>
    <w:pPr>
      <w:widowControl w:val="0"/>
      <w:spacing w:line="240" w:lineRule="auto"/>
      <w:jc w:val="left"/>
    </w:pPr>
    <w:rPr>
      <w:rFonts w:ascii="宋体" w:eastAsia="宋体" w:cs="Times New Roman"/>
      <w:kern w:val="2"/>
      <w:sz w:val="24"/>
      <w:szCs w:val="21"/>
      <w:lang w:val="en-US" w:eastAsia="zh-CN" w:bidi="ar-SA"/>
    </w:rPr>
  </w:style>
  <w:style w:type="paragraph" w:customStyle="1" w:styleId="32">
    <w:name w:val="样式 13 小四"/>
    <w:pPr>
      <w:widowControl w:val="0"/>
      <w:spacing w:line="240" w:lineRule="auto"/>
      <w:jc w:val="left"/>
    </w:pPr>
    <w:rPr>
      <w:rFonts w:ascii="宋体" w:eastAsia="宋体" w:cs="Times New Roman"/>
      <w:kern w:val="2"/>
      <w:sz w:val="24"/>
      <w:szCs w:val="21"/>
      <w:lang w:val="en-US" w:eastAsia="zh-CN" w:bidi="ar-SA"/>
    </w:rPr>
  </w:style>
  <w:style w:type="paragraph" w:customStyle="1" w:styleId="33">
    <w:name w:val="样式 14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4">
    <w:name w:val="样式 15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5">
    <w:name w:val="样式 16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6">
    <w:name w:val="样式 17 小四"/>
    <w:pPr>
      <w:widowControl w:val="0"/>
      <w:spacing w:line="240" w:lineRule="auto"/>
      <w:jc w:val="left"/>
    </w:pPr>
    <w:rPr>
      <w:rFonts w:ascii="宋体" w:eastAsia="宋体" w:cs="Times New Roman"/>
      <w:kern w:val="2"/>
      <w:sz w:val="24"/>
      <w:szCs w:val="21"/>
      <w:lang w:val="en-US" w:eastAsia="zh-CN" w:bidi="ar-SA"/>
    </w:rPr>
  </w:style>
  <w:style w:type="paragraph" w:customStyle="1" w:styleId="37">
    <w:name w:val="样式 18 小四"/>
    <w:pPr>
      <w:widowControl w:val="0"/>
      <w:spacing w:line="240" w:lineRule="auto"/>
      <w:jc w:val="left"/>
    </w:pPr>
    <w:rPr>
      <w:rFonts w:ascii="宋体" w:eastAsia="宋体" w:cs="Times New Roman"/>
      <w:kern w:val="2"/>
      <w:sz w:val="24"/>
      <w:szCs w:val="21"/>
      <w:lang w:val="en-US" w:eastAsia="zh-CN" w:bidi="ar-SA"/>
    </w:rPr>
  </w:style>
  <w:style w:type="paragraph" w:customStyle="1" w:styleId="38">
    <w:name w:val="样式 19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9">
    <w:name w:val="样式 20 小四"/>
    <w:pPr>
      <w:widowControl w:val="0"/>
      <w:spacing w:line="240" w:lineRule="auto"/>
      <w:jc w:val="left"/>
    </w:pPr>
    <w:rPr>
      <w:rFonts w:ascii="宋体" w:eastAsia="宋体" w:cs="Times New Roman"/>
      <w:kern w:val="2"/>
      <w:sz w:val="24"/>
      <w:szCs w:val="21"/>
      <w:lang w:val="en-US" w:eastAsia="zh-CN" w:bidi="ar-SA"/>
    </w:rPr>
  </w:style>
  <w:style w:type="paragraph" w:customStyle="1" w:styleId="40">
    <w:name w:val="样式 "/>
    <w:link w:val="40Char"/>
    <w:rPr>
      <w:rFonts w:ascii="Times New Roman" w:eastAsia="宋体" w:cs="Times New Roman" w:hAnsi="Times New Roman"/>
      <w:color w:val="0000FF"/>
      <w:u w:val="single"/>
      <w:lang w:val="en-US" w:eastAsia="zh-CN" w:bidi="ar-SA"/>
    </w:rPr>
  </w:style>
  <w:style w:type="character" w:customStyle="1" w:styleId="40Char">
    <w:name w:val="样式  Char"/>
    <w:basedOn w:val="10"/>
    <w:link w:val="40"/>
    <w:rPr>
      <w:rFonts w:ascii="Times New Roman" w:eastAsia="宋体" w:cs="Times New Roman" w:hAnsi="Times New Roman"/>
      <w:color w:val="0000FF"/>
      <w:u w:val="single"/>
      <w:lang w:val="en-US" w:eastAsia="zh-CN" w:bidi="ar-SA"/>
    </w:rPr>
  </w:style>
  <w:style w:type="paragraph" w:customStyle="1" w:styleId="41">
    <w:name w:val="样式 21 小四"/>
    <w:pPr>
      <w:widowControl w:val="0"/>
      <w:spacing w:line="240" w:lineRule="auto"/>
      <w:jc w:val="left"/>
    </w:pPr>
    <w:rPr>
      <w:rFonts w:ascii="宋体" w:eastAsia="宋体"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591</TotalTime>
  <Application>Yozo_Office</Application>
  <Pages>2</Pages>
  <Words>603</Words>
  <Characters>682</Characters>
  <Lines>33</Lines>
  <Paragraphs>16</Paragraphs>
  <CharactersWithSpaces>710</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张宝群</dc:creator>
  <cp:lastModifiedBy>姜璎桐</cp:lastModifiedBy>
  <cp:revision>1</cp:revision>
  <cp:lastPrinted>2024-06-28T01:14:19Z</cp:lastPrinted>
  <dcterms:created xsi:type="dcterms:W3CDTF">2022-10-17T02:19:12Z</dcterms:created>
  <dcterms:modified xsi:type="dcterms:W3CDTF">2026-03-18T01:32:25Z</dcterms:modified>
</cp:coreProperties>
</file>