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insoku/>
        <w:wordWrap/>
        <w:overflowPunct/>
        <w:topLinePunct w:val="0"/>
        <w:autoSpaceDE w:val="0"/>
        <w:autoSpaceDN w:val="0"/>
        <w:adjustRightInd w:val="0"/>
        <w:snapToGrid w:val="0"/>
        <w:spacing w:line="560" w:lineRule="exact"/>
        <w:jc w:val="center"/>
        <w:rPr>
          <w:rFonts w:ascii="Times New Roman" w:eastAsia="方正小标宋_GBK" w:cs="Times New Roman" w:hAnsi="Times New Roman"/>
          <w:bCs/>
          <w:snapToGrid w:val="0"/>
          <w:color w:val="auto"/>
          <w:sz w:val="44"/>
          <w:szCs w:val="44"/>
        </w:rPr>
      </w:pPr>
      <w:r>
        <w:rPr>
          <w:rFonts w:ascii="Times New Roman" w:eastAsia="方正小标宋_GBK" w:cs="Times New Roman" w:hAnsi="Times New Roman"/>
          <w:bCs/>
          <w:snapToGrid w:val="0"/>
          <w:color w:val="auto"/>
          <w:sz w:val="44"/>
          <w:szCs w:val="44"/>
        </w:rPr>
        <w:t>2026年</w:t>
      </w:r>
      <w:r>
        <w:rPr>
          <w:rFonts w:ascii="Times New Roman" w:eastAsia="方正小标宋_GBK" w:cs="Times New Roman" w:hAnsi="Times New Roman"/>
          <w:bCs/>
          <w:snapToGrid w:val="0"/>
          <w:color w:val="auto"/>
          <w:sz w:val="44"/>
          <w:szCs w:val="44"/>
          <w:lang w:eastAsia="zh-CN"/>
        </w:rPr>
        <w:t>上半年</w:t>
      </w:r>
      <w:r>
        <w:rPr>
          <w:rFonts w:ascii="Times New Roman" w:eastAsia="方正小标宋_GBK" w:cs="Times New Roman" w:hAnsi="Times New Roman"/>
          <w:bCs/>
          <w:snapToGrid w:val="0"/>
          <w:color w:val="auto"/>
          <w:sz w:val="44"/>
          <w:szCs w:val="44"/>
        </w:rPr>
        <w:t>经满洲里关区各口岸</w:t>
      </w:r>
    </w:p>
    <w:p>
      <w:pPr>
        <w:kinsoku/>
        <w:wordWrap/>
        <w:overflowPunct/>
        <w:topLinePunct w:val="0"/>
        <w:autoSpaceDE w:val="0"/>
        <w:autoSpaceDN w:val="0"/>
        <w:adjustRightInd w:val="0"/>
        <w:snapToGrid w:val="0"/>
        <w:spacing w:line="560" w:lineRule="exact"/>
        <w:jc w:val="center"/>
        <w:rPr>
          <w:rFonts w:ascii="Times New Roman" w:eastAsia="方正小标宋_GBK" w:cs="Times New Roman" w:hAnsi="Times New Roman"/>
          <w:bCs/>
          <w:snapToGrid w:val="0"/>
          <w:color w:val="auto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bCs/>
          <w:snapToGrid w:val="0"/>
          <w:color w:val="auto"/>
          <w:sz w:val="44"/>
          <w:szCs w:val="44"/>
        </w:rPr>
        <w:t>汽车出口</w:t>
      </w:r>
      <w:r>
        <w:rPr>
          <w:rFonts w:ascii="Times New Roman" w:eastAsia="方正小标宋_GBK" w:cs="Times New Roman" w:hAnsi="Times New Roman"/>
          <w:bCs/>
          <w:snapToGrid w:val="0"/>
          <w:color w:val="auto"/>
          <w:sz w:val="44"/>
          <w:szCs w:val="44"/>
          <w:lang w:eastAsia="zh-CN"/>
        </w:rPr>
        <w:t>增长</w:t>
      </w:r>
    </w:p>
    <w:p>
      <w:pPr>
        <w:adjustRightInd/>
        <w:snapToGrid w:val="0"/>
        <w:spacing w:line="560" w:lineRule="exact"/>
        <w:jc w:val="center"/>
        <w:rPr>
          <w:rFonts w:ascii="Times New Roman" w:eastAsia="方正小标宋_GBK" w:hAnsi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640"/>
        <w:jc w:val="both"/>
        <w:textAlignment w:val="auto"/>
        <w:rPr>
          <w:rFonts w:ascii="Times New Roman" w:eastAsia="方正仿宋_GBK" w:cs="Times New Roman" w:hAnsi="Times New Roman"/>
          <w:sz w:val="32"/>
          <w:szCs w:val="32"/>
          <w:highlight w:val="yellow"/>
        </w:rPr>
      </w:pP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据海关统计，2026年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上半年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，经满洲里关区各口岸</w:t>
      </w:r>
      <w:r>
        <w:rPr>
          <w:rFonts w:ascii="Times New Roman" w:eastAsia="方正仿宋_GBK" w:cs="Times New Roman" w:hAnsi="Times New Roman"/>
          <w:sz w:val="32"/>
          <w:szCs w:val="32"/>
        </w:rPr>
        <w:t>（下称</w:t>
      </w:r>
      <w:r>
        <w:rPr>
          <w:rFonts w:ascii="方正仿宋_GBK" w:eastAsia="方正仿宋_GBK" w:cs="方正仿宋_GBK" w:hAnsi="方正仿宋_GBK" w:hint="eastAsia"/>
          <w:sz w:val="32"/>
          <w:szCs w:val="32"/>
        </w:rPr>
        <w:t>“经口岸”</w:t>
      </w:r>
      <w:r>
        <w:rPr>
          <w:rFonts w:ascii="Times New Roman" w:eastAsia="方正仿宋_GBK" w:cs="Times New Roman" w:hAnsi="Times New Roman"/>
          <w:sz w:val="32"/>
          <w:szCs w:val="32"/>
        </w:rPr>
        <w:t>）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出口汽车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3.1万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辆，同比（下同）增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2倍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；价值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54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亿元，增长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47.6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%。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月份，经口岸出口汽车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7437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辆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，增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3.2倍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；价值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11.7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亿元，增长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74.2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%。</w:t>
      </w:r>
    </w:p>
    <w:p>
      <w:pPr>
        <w:pStyle w:val="36"/>
        <w:bidi w:val="0"/>
        <w:adjustRightInd/>
        <w:snapToGrid w:val="0"/>
        <w:spacing w:line="560" w:lineRule="exact"/>
        <w:ind w:firstLineChars="200" w:firstLine="640"/>
        <w:rPr>
          <w:rFonts w:ascii="方正黑体_GBK" w:eastAsia="方正黑体_GBK" w:cs="方正黑体_GBK" w:hAnsi="方正黑体_GBK"/>
          <w:snapToGrid w:val="0"/>
          <w:sz w:val="32"/>
          <w:szCs w:val="32"/>
          <w:lang w:eastAsia="zh-CN"/>
        </w:rPr>
      </w:pPr>
      <w:r>
        <w:rPr>
          <w:rFonts w:ascii="方正黑体_GBK" w:eastAsia="方正黑体_GBK" w:cs="方正黑体_GBK" w:hAnsi="方正黑体_GBK" w:hint="eastAsia"/>
          <w:snapToGrid w:val="0"/>
          <w:color w:val="000000"/>
          <w:sz w:val="32"/>
          <w:szCs w:val="32"/>
        </w:rPr>
        <w:t>一、</w:t>
      </w:r>
      <w:r>
        <w:rPr>
          <w:rFonts w:ascii="方正黑体_GBK" w:eastAsia="方正黑体_GBK" w:cs="方正黑体_GBK" w:hAnsi="方正黑体_GBK" w:hint="eastAsia"/>
          <w:snapToGrid w:val="0"/>
          <w:sz w:val="32"/>
          <w:szCs w:val="32"/>
          <w:lang w:eastAsia="zh-CN"/>
        </w:rPr>
        <w:t>俄罗斯为第一大出口市场</w:t>
      </w:r>
    </w:p>
    <w:p>
      <w:pPr>
        <w:pStyle w:val="36"/>
        <w:bidi w:val="0"/>
        <w:adjustRightInd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snapToGrid w:val="0"/>
          <w:sz w:val="32"/>
          <w:szCs w:val="32"/>
          <w:highlight w:val="yellow"/>
        </w:rPr>
      </w:pP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上半年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，对俄罗斯出口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汽车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2.4万辆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，增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2.5倍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，占经口岸汽车出口总量的（下同）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77.6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；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对白俄罗斯出口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6313辆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，增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87.4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%，占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20.7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；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其余出口至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哈萨克斯坦、蒙古国、吉尔吉斯斯坦、</w:t>
      </w:r>
      <w:r>
        <w:rPr>
          <w:rFonts w:ascii="Times New Roman" w:eastAsia="方正仿宋_GBK" w:hAnsi="Times New Roman"/>
          <w:sz w:val="32"/>
          <w:szCs w:val="32"/>
        </w:rPr>
        <w:t>格鲁吉亚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等地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。</w:t>
      </w:r>
    </w:p>
    <w:p>
      <w:pPr>
        <w:pStyle w:val="36"/>
        <w:adjustRightInd/>
        <w:snapToGrid w:val="0"/>
        <w:spacing w:line="560" w:lineRule="exact"/>
        <w:ind w:firstLineChars="200" w:firstLine="640"/>
        <w:rPr>
          <w:rFonts w:ascii="方正黑体_GBK" w:eastAsia="方正黑体_GBK" w:cs="方正黑体_GBK" w:hAnsi="方正黑体_GBK" w:hint="eastAsia"/>
          <w:bCs/>
          <w:snapToGrid w:val="0"/>
          <w:color w:val="000000"/>
          <w:sz w:val="32"/>
          <w:szCs w:val="32"/>
        </w:rPr>
      </w:pPr>
      <w:r>
        <w:rPr>
          <w:rFonts w:ascii="方正黑体_GBK" w:eastAsia="方正黑体_GBK" w:cs="方正黑体_GBK" w:hAnsi="方正黑体_GBK" w:hint="eastAsia"/>
          <w:bCs/>
          <w:snapToGrid w:val="0"/>
          <w:color w:val="000000"/>
          <w:sz w:val="32"/>
          <w:szCs w:val="32"/>
        </w:rPr>
        <w:t>二、</w:t>
      </w:r>
      <w:r>
        <w:rPr>
          <w:rFonts w:ascii="方正黑体_GBK" w:eastAsia="方正黑体_GBK" w:cs="方正黑体_GBK" w:hAnsi="方正黑体_GBK" w:hint="eastAsia"/>
          <w:bCs/>
          <w:snapToGrid w:val="0"/>
          <w:color w:val="000000"/>
          <w:sz w:val="32"/>
          <w:szCs w:val="32"/>
          <w:lang w:eastAsia="zh-CN"/>
        </w:rPr>
        <w:t>以一般贸易方式为主</w:t>
      </w:r>
    </w:p>
    <w:p>
      <w:pPr>
        <w:pStyle w:val="22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Chars="200" w:firstLine="640"/>
        <w:jc w:val="both"/>
        <w:textAlignment w:val="auto"/>
        <w:rPr>
          <w:rFonts w:ascii="Times New Roman" w:eastAsia="方正仿宋_GBK" w:cs="Times New Roman" w:hAnsi="Times New Roman"/>
          <w:snapToGrid w:val="0"/>
          <w:sz w:val="32"/>
          <w:szCs w:val="32"/>
          <w:highlight w:val="yellow"/>
        </w:rPr>
      </w:pP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上半年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，经口岸以一般贸易方式出口汽车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2.4万辆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，增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2.1倍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77.8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%；以保税物流方式出口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6625辆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增加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2.0倍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21.7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%；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其余以边境小额贸易、对外承包工程等方式出口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。</w:t>
      </w:r>
    </w:p>
    <w:p>
      <w:pPr>
        <w:pStyle w:val="36"/>
        <w:adjustRightInd/>
        <w:snapToGrid w:val="0"/>
        <w:spacing w:line="560" w:lineRule="exact"/>
        <w:ind w:firstLineChars="200" w:firstLine="640"/>
        <w:rPr>
          <w:rFonts w:ascii="方正黑体_GBK" w:eastAsia="方正黑体_GBK" w:cs="方正黑体_GBK" w:hAnsi="方正黑体_GBK" w:hint="eastAsia"/>
          <w:bCs/>
          <w:snapToGrid w:val="0"/>
          <w:color w:val="000000"/>
          <w:sz w:val="32"/>
          <w:szCs w:val="32"/>
        </w:rPr>
      </w:pPr>
      <w:r>
        <w:rPr>
          <w:rFonts w:ascii="方正黑体_GBK" w:eastAsia="方正黑体_GBK" w:cs="方正黑体_GBK" w:hAnsi="方正黑体_GBK" w:hint="eastAsia"/>
          <w:bCs/>
          <w:snapToGrid w:val="0"/>
          <w:color w:val="000000"/>
          <w:sz w:val="32"/>
          <w:szCs w:val="32"/>
        </w:rPr>
        <w:t>三、民营企业主导出口</w:t>
      </w:r>
    </w:p>
    <w:p>
      <w:pPr>
        <w:pStyle w:val="22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cs="Times New Roman" w:hAnsi="Times New Roman"/>
          <w:highlight w:val="yellow"/>
        </w:rPr>
      </w:pP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上半年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，民营企业经口岸出口汽车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2.6万辆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，增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2.5倍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86.3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%；国有企业出口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3455辆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，增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79.9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%，占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11.3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%；其余由外商投资企业出口。</w:t>
      </w:r>
    </w:p>
    <w:p>
      <w:pPr>
        <w:pStyle w:val="22"/>
        <w:adjustRightInd/>
        <w:snapToGrid w:val="0"/>
        <w:spacing w:line="560" w:lineRule="exact"/>
        <w:ind w:firstLineChars="200" w:firstLine="640"/>
        <w:rPr>
          <w:rFonts w:ascii="方正黑体_GBK" w:eastAsia="方正黑体_GBK" w:cs="方正黑体_GBK" w:hAnsi="方正黑体_GBK"/>
          <w:snapToGrid w:val="0"/>
          <w:color w:val="000000"/>
          <w:sz w:val="32"/>
          <w:szCs w:val="32"/>
        </w:rPr>
      </w:pPr>
      <w:r>
        <w:rPr>
          <w:rFonts w:ascii="方正黑体_GBK" w:eastAsia="方正黑体_GBK" w:cs="方正黑体_GBK" w:hAnsi="方正黑体_GBK" w:hint="eastAsia"/>
          <w:bCs/>
          <w:snapToGrid w:val="0"/>
          <w:color w:val="000000"/>
          <w:sz w:val="32"/>
          <w:szCs w:val="32"/>
        </w:rPr>
        <w:t>四、</w:t>
      </w:r>
      <w:r>
        <w:rPr>
          <w:rFonts w:ascii="方正黑体_GBK" w:eastAsia="方正黑体_GBK" w:cs="方正黑体_GBK" w:hAnsi="方正黑体_GBK"/>
          <w:snapToGrid w:val="0"/>
          <w:color w:val="000000"/>
          <w:sz w:val="32"/>
          <w:szCs w:val="32"/>
        </w:rPr>
        <w:t>出口</w:t>
      </w:r>
      <w:r>
        <w:rPr>
          <w:rFonts w:ascii="方正黑体_GBK" w:eastAsia="方正黑体_GBK" w:cs="方正黑体_GBK" w:hAnsi="方正黑体_GBK"/>
          <w:bCs/>
          <w:snapToGrid w:val="0"/>
          <w:color w:val="000000"/>
          <w:sz w:val="32"/>
          <w:szCs w:val="32"/>
        </w:rPr>
        <w:t>境内</w:t>
      </w:r>
      <w:r>
        <w:rPr>
          <w:rFonts w:ascii="方正黑体_GBK" w:eastAsia="方正黑体_GBK" w:cs="方正黑体_GBK" w:hAnsi="方正黑体_GBK" w:hint="eastAsia"/>
          <w:snapToGrid w:val="0"/>
          <w:color w:val="000000"/>
          <w:sz w:val="32"/>
          <w:szCs w:val="32"/>
        </w:rPr>
        <w:t>自主品牌</w:t>
      </w:r>
      <w:r>
        <w:rPr>
          <w:rFonts w:ascii="方正黑体_GBK" w:eastAsia="方正黑体_GBK" w:cs="方正黑体_GBK" w:hAnsi="方正黑体_GBK"/>
          <w:snapToGrid w:val="0"/>
          <w:color w:val="000000"/>
          <w:sz w:val="32"/>
          <w:szCs w:val="32"/>
        </w:rPr>
        <w:t>汽车占比</w:t>
      </w:r>
      <w:r>
        <w:rPr>
          <w:rFonts w:ascii="方正黑体_GBK" w:eastAsia="方正黑体_GBK" w:cs="方正黑体_GBK" w:hAnsi="方正黑体_GBK" w:hint="eastAsia"/>
          <w:snapToGrid w:val="0"/>
          <w:color w:val="000000"/>
          <w:sz w:val="32"/>
          <w:szCs w:val="32"/>
          <w:lang w:eastAsia="zh-CN"/>
        </w:rPr>
        <w:t>超</w:t>
      </w:r>
      <w:r>
        <w:rPr>
          <w:rFonts w:ascii="方正黑体_GBK" w:eastAsia="方正黑体_GBK" w:cs="方正黑体_GBK" w:hAnsi="方正黑体_GBK"/>
          <w:snapToGrid w:val="0"/>
          <w:color w:val="000000"/>
          <w:sz w:val="32"/>
          <w:szCs w:val="32"/>
          <w:lang w:eastAsia="zh-CN"/>
        </w:rPr>
        <w:t>八</w:t>
      </w:r>
      <w:r>
        <w:rPr>
          <w:rFonts w:ascii="方正黑体_GBK" w:eastAsia="方正黑体_GBK" w:cs="方正黑体_GBK" w:hAnsi="方正黑体_GBK" w:hint="eastAsia"/>
          <w:snapToGrid w:val="0"/>
          <w:color w:val="000000"/>
          <w:sz w:val="32"/>
          <w:szCs w:val="32"/>
          <w:lang w:eastAsia="zh-CN"/>
        </w:rPr>
        <w:t>成</w:t>
      </w:r>
    </w:p>
    <w:p>
      <w:pPr>
        <w:pStyle w:val="22"/>
        <w:adjustRightInd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  <w:lang w:eastAsia="zh-CN"/>
        </w:rPr>
        <w:t>上半年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</w:rPr>
        <w:t>，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经口岸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</w:rPr>
        <w:t>出口境内自主品牌汽车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  <w:lang w:val="en-US" w:eastAsia="zh-CN"/>
        </w:rPr>
        <w:t>2.5万辆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</w:rPr>
        <w:t>，增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  <w:lang w:eastAsia="zh-CN"/>
        </w:rPr>
        <w:t>加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  <w:lang w:val="en-US" w:eastAsia="zh-CN"/>
        </w:rPr>
        <w:t>2.7倍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</w:rPr>
        <w:t>，占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  <w:lang w:val="en-US" w:eastAsia="zh-CN"/>
        </w:rPr>
        <w:t>82.3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</w:rPr>
        <w:t>%；出口境外品牌汽车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  <w:lang w:val="en-US" w:eastAsia="zh-CN"/>
        </w:rPr>
        <w:t>5115辆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</w:rPr>
        <w:t>，增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  <w:lang w:eastAsia="zh-CN"/>
        </w:rPr>
        <w:t>加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  <w:lang w:val="en-US" w:eastAsia="zh-CN"/>
        </w:rPr>
        <w:t>69.3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</w:rPr>
        <w:t>%，占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  <w:lang w:val="en-US" w:eastAsia="zh-CN"/>
        </w:rPr>
        <w:t>16.9</w:t>
      </w:r>
      <w:r>
        <w:rPr>
          <w:rFonts w:ascii="Times New Roman" w:eastAsia="方正仿宋_GBK" w:cs="Times New Roman" w:hAnsi="Times New Roman"/>
          <w:snapToGrid w:val="0"/>
          <w:color w:val="000000"/>
          <w:sz w:val="32"/>
          <w:szCs w:val="32"/>
        </w:rPr>
        <w:t>%。</w:t>
      </w:r>
    </w:p>
    <w:p>
      <w:pPr>
        <w:pStyle w:val="35"/>
        <w:adjustRightInd/>
        <w:snapToGrid w:val="0"/>
        <w:spacing w:line="560" w:lineRule="exact"/>
        <w:ind w:left="0" w:firstLineChars="200" w:firstLine="640"/>
        <w:rPr>
          <w:rFonts w:ascii="方正黑体_GBK" w:eastAsia="方正黑体_GBK" w:cs="方正黑体_GBK" w:hAnsi="方正黑体_GBK"/>
          <w:bCs/>
          <w:snapToGrid w:val="0"/>
          <w:color w:val="000000"/>
          <w:sz w:val="32"/>
          <w:szCs w:val="32"/>
          <w:lang w:eastAsia="zh-CN"/>
        </w:rPr>
      </w:pPr>
      <w:r>
        <w:rPr>
          <w:rFonts w:ascii="方正黑体_GBK" w:eastAsia="方正黑体_GBK" w:cs="方正黑体_GBK" w:hAnsi="方正黑体_GBK"/>
          <w:bCs/>
          <w:snapToGrid w:val="0"/>
          <w:color w:val="000000"/>
          <w:sz w:val="32"/>
          <w:szCs w:val="32"/>
          <w:lang w:eastAsia="zh-CN"/>
        </w:rPr>
        <w:t>五、乘用车</w:t>
      </w:r>
      <w:r>
        <w:rPr>
          <w:rFonts w:ascii="方正黑体_GBK" w:eastAsia="方正黑体_GBK" w:cs="方正黑体_GBK" w:hAnsi="方正黑体_GBK" w:hint="eastAsia"/>
          <w:bCs/>
          <w:snapToGrid w:val="0"/>
          <w:color w:val="000000"/>
          <w:sz w:val="32"/>
          <w:szCs w:val="32"/>
          <w:lang w:eastAsia="zh-CN"/>
        </w:rPr>
        <w:t>为主要出口品类，</w:t>
      </w:r>
      <w:r>
        <w:rPr>
          <w:rFonts w:ascii="方正黑体_GBK" w:eastAsia="方正黑体_GBK" w:cs="方正黑体_GBK" w:hAnsi="方正黑体_GBK"/>
          <w:bCs/>
          <w:snapToGrid w:val="0"/>
          <w:color w:val="000000"/>
          <w:sz w:val="32"/>
          <w:szCs w:val="32"/>
          <w:lang w:eastAsia="zh-CN"/>
        </w:rPr>
        <w:t>电动乘用车</w:t>
      </w:r>
      <w:r>
        <w:rPr>
          <w:rFonts w:ascii="方正黑体_GBK" w:eastAsia="方正黑体_GBK" w:cs="方正黑体_GBK" w:hAnsi="方正黑体_GBK" w:hint="eastAsia"/>
          <w:bCs/>
          <w:snapToGrid w:val="0"/>
          <w:color w:val="000000"/>
          <w:sz w:val="32"/>
          <w:szCs w:val="32"/>
          <w:lang w:eastAsia="zh-CN"/>
        </w:rPr>
        <w:t>增长迅猛</w:t>
      </w:r>
    </w:p>
    <w:p>
      <w:pPr>
        <w:pStyle w:val="35"/>
        <w:adjustRightInd/>
        <w:snapToGrid w:val="0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Times New Roman" w:eastAsia="方正仿宋_GBK" w:cs="Times New Roman" w:hAnsi="Times New Roman"/>
          <w:snapToGrid w:val="0"/>
          <w:sz w:val="32"/>
          <w:szCs w:val="32"/>
          <w:lang w:eastAsia="zh-CN"/>
        </w:rPr>
        <w:t>上半年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，出口乘用车</w:t>
      </w:r>
      <w:r>
        <w:rPr>
          <w:rFonts w:ascii="Times New Roman" w:eastAsia="方正仿宋_GBK" w:cs="Times New Roman" w:hAnsi="Times New Roman"/>
          <w:snapToGrid w:val="0"/>
          <w:sz w:val="32"/>
          <w:szCs w:val="32"/>
          <w:lang w:val="en-US" w:eastAsia="zh-CN"/>
        </w:rPr>
        <w:t>2.7万辆，增加3.1倍，占87.9%。其中，出口电动乘用车4645辆，增加5.7倍。出口货车1661辆，增加16.3%，占5.4%。</w:t>
      </w:r>
    </w:p>
    <w:p>
      <w:pPr>
        <w:pStyle w:val="23"/>
        <w:spacing w:line="560" w:lineRule="exact"/>
        <w:ind w:firstLineChars="200" w:firstLine="640"/>
        <w:rPr>
          <w:rFonts w:ascii="方正仿宋_GBK" w:eastAsia="方正仿宋_GBK" w:hint="eastAsia"/>
          <w:bCs/>
          <w:snapToGrid w:val="0"/>
          <w:color w:val="000000"/>
          <w:sz w:val="32"/>
          <w:szCs w:val="32"/>
        </w:rPr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pageBreakBefore w:val="0"/>
      <w:widowControl w:val="0"/>
      <w:suppressLineNumbers w:val="0"/>
      <w:suppressAutoHyphens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adjustRightInd/>
      <w:snapToGrid w:val="0"/>
      <w:jc w:val="center"/>
    </w:pPr>
    <w:rPr>
      <w:sz w:val="18"/>
    </w:rPr>
  </w:style>
  <w:style w:type="paragraph" w:customStyle="1" w:styleId="16">
    <w:name w:val="样式 10 磅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styleId="17">
    <w:name w:val="footnote text"/>
    <w:basedOn w:val="0"/>
    <w:pPr>
      <w:adjustRightInd/>
      <w:snapToGrid w:val="0"/>
      <w:jc w:val="left"/>
    </w:pPr>
    <w:rPr>
      <w:sz w:val="18"/>
    </w:rPr>
  </w:style>
  <w:style w:type="paragraph" w:styleId="18">
    <w:name w:val="index heading"/>
    <w:basedOn w:val="0"/>
    <w:rPr>
      <w:rFonts w:ascii="Arial" w:hAnsi="Arial"/>
      <w:b/>
    </w:rPr>
  </w:style>
  <w:style w:type="character" w:styleId="19">
    <w:name w:val="footnote reference"/>
    <w:basedOn w:val="10"/>
    <w:rPr>
      <w:vertAlign w:val="superscript"/>
    </w:rPr>
  </w:style>
  <w:style w:type="paragraph" w:styleId="20">
    <w:name w:val="endnote text"/>
    <w:basedOn w:val="0"/>
    <w:pPr>
      <w:adjustRightInd/>
      <w:snapToGrid w:val="0"/>
      <w:jc w:val="left"/>
    </w:pPr>
  </w:style>
  <w:style w:type="paragraph" w:styleId="21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customStyle="1" w:styleId="22">
    <w:name w:val="样式 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23">
    <w:name w:val="样式 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24">
    <w:name w:val="样式 56 小四"/>
    <w:next w:val="21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5">
    <w:name w:val="样式 小五"/>
    <w:next w:val="18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18"/>
      <w:szCs w:val="18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26">
    <w:name w:val="样式 1 小五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18"/>
      <w:szCs w:val="18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27">
    <w:name w:val="样式 2 小五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18"/>
      <w:szCs w:val="18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28">
    <w:name w:val="样式 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">
    <w:name w:val="样式 3 小五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18"/>
      <w:szCs w:val="18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30">
    <w:name w:val="样式 15 10 磅"/>
    <w:next w:val="2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32">
    <w:name w:val="样式 4 小五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0" w:right="0" w:firstLine="0"/>
      <w:jc w:val="left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18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33">
    <w:name w:val="样式 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34">
    <w:name w:val="样式 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35">
    <w:name w:val="样式 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36">
    <w:name w:val="样式 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37">
    <w:name w:val="样式 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38">
    <w:name w:val="样式 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39">
    <w:name w:val="样式 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40">
    <w:name w:val="样式 1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41">
    <w:name w:val="样式 1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42">
    <w:name w:val="样式 1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43">
    <w:name w:val="样式 1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44">
    <w:name w:val="样式 1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0131C9AD-785D-4947-93B8-BC7B98772AF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303</TotalTime>
  <Application>Yozo_Office27021597764231179</Application>
  <Pages>2</Pages>
  <Words>0</Words>
  <Characters>471</Characters>
  <Lines>0</Lines>
  <Paragraphs>15</Paragraphs>
  <CharactersWithSpaces>629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郑雨维</dc:creator>
  <cp:lastModifiedBy>user</cp:lastModifiedBy>
  <cp:revision>1</cp:revision>
  <dcterms:created xsi:type="dcterms:W3CDTF">2026-07-16T01:22:53Z</dcterms:created>
  <dcterms:modified xsi:type="dcterms:W3CDTF">2026-07-20T08:57:48Z</dcterms:modified>
</cp:coreProperties>
</file>