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in" ContentType="application/vnd.openxmlformats-officedocument.oleObject"/>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autoSpaceDN w:val="0"/>
        <w:spacing w:line="560" w:lineRule="exact"/>
        <w:rPr>
          <w:b/>
          <w:bCs/>
          <w:sz w:val="72"/>
          <w:szCs w:val="72"/>
        </w:rPr>
      </w:pPr>
    </w:p>
    <w:p>
      <w:pPr>
        <w:autoSpaceDN w:val="0"/>
        <w:spacing w:line="360" w:lineRule="auto"/>
        <w:jc w:val="center"/>
        <w:rPr>
          <w:rFonts w:eastAsia="方正小标宋_GBK"/>
          <w:sz w:val="72"/>
          <w:szCs w:val="72"/>
        </w:rPr>
      </w:pPr>
    </w:p>
    <w:p>
      <w:pPr>
        <w:autoSpaceDN w:val="0"/>
        <w:spacing w:line="360" w:lineRule="auto"/>
        <w:jc w:val="center"/>
        <w:rPr>
          <w:rFonts w:eastAsia="方正小标宋_GBK"/>
          <w:sz w:val="84"/>
          <w:szCs w:val="84"/>
        </w:rPr>
      </w:pPr>
    </w:p>
    <w:p>
      <w:pPr>
        <w:autoSpaceDN w:val="0"/>
        <w:spacing w:line="360" w:lineRule="auto"/>
        <w:jc w:val="center"/>
        <w:rPr>
          <w:rFonts w:eastAsia="方正小标宋_GBK" w:cs="方正小标宋_GBK" w:hint="eastAsia"/>
          <w:sz w:val="84"/>
          <w:szCs w:val="84"/>
        </w:rPr>
      </w:pPr>
      <w:r>
        <w:rPr>
          <w:rFonts w:eastAsia="方正小标宋_GBK"/>
          <w:sz w:val="84"/>
          <w:szCs w:val="84"/>
        </w:rPr>
        <w:t>202</w:t>
      </w:r>
      <w:r>
        <w:rPr>
          <w:rFonts w:eastAsia="方正小标宋_GBK" w:hint="eastAsia"/>
          <w:sz w:val="84"/>
          <w:szCs w:val="84"/>
          <w:lang w:val="en-US" w:eastAsia="zh-CN"/>
        </w:rPr>
        <w:t>5</w:t>
      </w:r>
      <w:r>
        <w:rPr>
          <w:rFonts w:eastAsia="方正小标宋_GBK" w:cs="方正小标宋_GBK" w:hint="eastAsia"/>
          <w:sz w:val="84"/>
          <w:szCs w:val="84"/>
        </w:rPr>
        <w:t>年度</w:t>
      </w:r>
    </w:p>
    <w:p>
      <w:pPr>
        <w:pStyle w:val="15"/>
        <w:rPr>
          <w:rFonts w:eastAsia="方正小标宋_GBK" w:cs="方正小标宋_GBK" w:hint="eastAsia"/>
          <w:sz w:val="84"/>
          <w:szCs w:val="84"/>
        </w:rPr>
      </w:pPr>
    </w:p>
    <w:p>
      <w:pPr>
        <w:pStyle w:val="15"/>
        <w:rPr>
          <w:rFonts w:eastAsia="方正小标宋_GBK" w:cs="方正小标宋_GBK" w:hint="eastAsia"/>
          <w:sz w:val="84"/>
          <w:szCs w:val="84"/>
        </w:rPr>
      </w:pPr>
    </w:p>
    <w:p>
      <w:pPr>
        <w:autoSpaceDN w:val="0"/>
        <w:spacing w:line="360" w:lineRule="auto"/>
        <w:jc w:val="center"/>
        <w:rPr>
          <w:rFonts w:eastAsia="方正小标宋_GBK" w:cs="方正小标宋_GBK" w:hint="eastAsia"/>
          <w:sz w:val="84"/>
          <w:szCs w:val="84"/>
        </w:rPr>
      </w:pPr>
      <w:r>
        <w:rPr>
          <w:rFonts w:eastAsia="方正小标宋_GBK" w:cs="方正小标宋_GBK" w:hint="eastAsia"/>
          <w:sz w:val="84"/>
          <w:szCs w:val="84"/>
          <w:lang w:eastAsia="zh-CN"/>
        </w:rPr>
        <w:t>额布都格</w:t>
      </w:r>
      <w:r>
        <w:rPr>
          <w:rFonts w:eastAsia="方正小标宋_GBK" w:cs="方正小标宋_GBK" w:hint="eastAsia"/>
          <w:sz w:val="84"/>
          <w:szCs w:val="84"/>
        </w:rPr>
        <w:t>海关</w:t>
      </w:r>
    </w:p>
    <w:p>
      <w:pPr>
        <w:autoSpaceDN w:val="0"/>
        <w:spacing w:line="360" w:lineRule="auto"/>
        <w:jc w:val="center"/>
        <w:rPr>
          <w:b/>
          <w:bCs/>
          <w:sz w:val="84"/>
          <w:szCs w:val="84"/>
        </w:rPr>
      </w:pPr>
      <w:r>
        <w:rPr>
          <w:rFonts w:eastAsia="方正小标宋_GBK" w:cs="方正小标宋_GBK" w:hint="eastAsia"/>
          <w:sz w:val="84"/>
          <w:szCs w:val="84"/>
        </w:rPr>
        <w:t>部门决算</w:t>
      </w:r>
      <w:r>
        <w:rPr>
          <w:b/>
          <w:bCs/>
          <w:sz w:val="84"/>
          <w:szCs w:val="84"/>
        </w:rPr>
        <w:br w:type="page"/>
      </w:r>
      <w:r>
        <w:rPr>
          <w:rFonts w:ascii="方正黑体_GBK" w:eastAsia="方正黑体_GBK" w:cs="方正黑体_GBK" w:hint="eastAsia"/>
          <w:sz w:val="44"/>
          <w:szCs w:val="44"/>
        </w:rPr>
        <w:t>目</w:t>
      </w:r>
      <w:r>
        <w:rPr>
          <w:rFonts w:ascii="方正黑体_GBK" w:eastAsia="方正黑体_GBK" w:cs="方正黑体_GBK"/>
          <w:sz w:val="44"/>
          <w:szCs w:val="44"/>
        </w:rPr>
        <w:t xml:space="preserve">     </w:t>
      </w:r>
      <w:r>
        <w:rPr>
          <w:rFonts w:ascii="方正黑体_GBK" w:eastAsia="方正黑体_GBK" w:cs="方正黑体_GBK" w:hint="eastAsia"/>
          <w:sz w:val="44"/>
          <w:szCs w:val="44"/>
        </w:rPr>
        <w:t>录</w:t>
      </w:r>
    </w:p>
    <w:p>
      <w:pPr>
        <w:autoSpaceDN w:val="0"/>
        <w:spacing w:line="560" w:lineRule="exact"/>
        <w:rPr>
          <w:rFonts w:eastAsia="方正黑体_GBK"/>
          <w:sz w:val="32"/>
          <w:szCs w:val="32"/>
        </w:rPr>
      </w:pPr>
      <w:r>
        <w:rPr>
          <w:rFonts w:eastAsia="方正黑体_GBK" w:cs="方正黑体_GBK" w:hint="eastAsia"/>
          <w:sz w:val="32"/>
          <w:szCs w:val="32"/>
          <w:lang w:eastAsia="zh-CN"/>
        </w:rPr>
        <w:t>第一部分</w:t>
      </w:r>
      <w:r>
        <w:rPr>
          <w:rFonts w:eastAsia="方正黑体_GBK" w:cs="方正黑体_GBK" w:hint="eastAsia"/>
          <w:sz w:val="32"/>
          <w:szCs w:val="32"/>
          <w:lang w:val="en-US" w:eastAsia="zh-CN"/>
        </w:rPr>
        <w:t xml:space="preserve">  </w:t>
      </w:r>
      <w:r>
        <w:rPr>
          <w:rFonts w:eastAsia="方正黑体_GBK" w:cs="方正黑体_GBK" w:hint="eastAsia"/>
          <w:sz w:val="32"/>
          <w:szCs w:val="32"/>
          <w:lang w:eastAsia="zh-CN"/>
        </w:rPr>
        <w:t>额布都格</w:t>
      </w:r>
      <w:r>
        <w:rPr>
          <w:rFonts w:eastAsia="方正黑体_GBK" w:cs="方正黑体_GBK" w:hint="eastAsia"/>
          <w:sz w:val="32"/>
          <w:szCs w:val="32"/>
        </w:rPr>
        <w:t>海关概况</w:t>
      </w:r>
    </w:p>
    <w:p>
      <w:pPr>
        <w:autoSpaceDN w:val="0"/>
        <w:spacing w:line="560" w:lineRule="exact"/>
        <w:ind w:firstLineChars="200" w:firstLine="640"/>
        <w:rPr>
          <w:rFonts w:eastAsia="方正仿宋_GBK"/>
          <w:sz w:val="32"/>
          <w:szCs w:val="32"/>
        </w:rPr>
      </w:pPr>
      <w:r>
        <w:rPr>
          <w:rFonts w:eastAsia="方正仿宋_GBK" w:cs="方正仿宋_GBK" w:hint="eastAsia"/>
          <w:sz w:val="32"/>
          <w:szCs w:val="32"/>
          <w:lang w:eastAsia="zh-CN"/>
        </w:rPr>
        <w:t>一、</w:t>
      </w:r>
      <w:r>
        <w:rPr>
          <w:rFonts w:eastAsia="方正仿宋_GBK" w:cs="方正仿宋_GBK" w:hint="eastAsia"/>
          <w:sz w:val="32"/>
          <w:szCs w:val="32"/>
        </w:rPr>
        <w:t>部门职责</w:t>
      </w:r>
    </w:p>
    <w:p>
      <w:pPr>
        <w:autoSpaceDN w:val="0"/>
        <w:spacing w:line="560" w:lineRule="exact"/>
        <w:ind w:firstLineChars="200" w:firstLine="640"/>
        <w:rPr>
          <w:rFonts w:eastAsia="方正仿宋_GBK"/>
          <w:sz w:val="32"/>
          <w:szCs w:val="32"/>
        </w:rPr>
      </w:pPr>
      <w:r>
        <w:rPr>
          <w:rFonts w:eastAsia="方正仿宋_GBK" w:cs="方正仿宋_GBK" w:hint="eastAsia"/>
          <w:sz w:val="32"/>
          <w:szCs w:val="32"/>
          <w:lang w:eastAsia="zh-CN"/>
        </w:rPr>
        <w:t>二、</w:t>
      </w:r>
      <w:r>
        <w:rPr>
          <w:rFonts w:eastAsia="方正仿宋_GBK" w:cs="方正仿宋_GBK" w:hint="eastAsia"/>
          <w:sz w:val="32"/>
          <w:szCs w:val="32"/>
        </w:rPr>
        <w:t>机构设置</w:t>
      </w:r>
    </w:p>
    <w:p>
      <w:pPr>
        <w:autoSpaceDN w:val="0"/>
        <w:spacing w:line="560" w:lineRule="exact"/>
        <w:rPr>
          <w:rFonts w:eastAsia="方正黑体_GBK"/>
          <w:sz w:val="32"/>
          <w:szCs w:val="32"/>
        </w:rPr>
      </w:pPr>
      <w:r>
        <w:rPr>
          <w:rFonts w:eastAsia="方正黑体_GBK" w:cs="方正黑体_GBK" w:hint="eastAsia"/>
          <w:sz w:val="32"/>
          <w:szCs w:val="32"/>
          <w:lang w:eastAsia="zh-CN"/>
        </w:rPr>
        <w:t>第二部分</w:t>
      </w:r>
      <w:r>
        <w:rPr>
          <w:rFonts w:eastAsia="方正黑体_GBK" w:cs="方正黑体_GBK" w:hint="eastAsia"/>
          <w:sz w:val="32"/>
          <w:szCs w:val="32"/>
          <w:lang w:val="en-US" w:eastAsia="zh-CN"/>
        </w:rPr>
        <w:t xml:space="preserve">  </w:t>
      </w:r>
      <w:r>
        <w:rPr>
          <w:rFonts w:eastAsia="方正黑体_GBK"/>
          <w:sz w:val="32"/>
          <w:szCs w:val="32"/>
        </w:rPr>
        <w:t>202</w:t>
      </w:r>
      <w:r>
        <w:rPr>
          <w:rFonts w:eastAsia="方正黑体_GBK" w:hint="eastAsia"/>
          <w:sz w:val="32"/>
          <w:szCs w:val="32"/>
          <w:lang w:val="en-US" w:eastAsia="zh-CN"/>
        </w:rPr>
        <w:t>5</w:t>
      </w:r>
      <w:r>
        <w:rPr>
          <w:rFonts w:eastAsia="方正黑体_GBK" w:cs="方正黑体_GBK" w:hint="eastAsia"/>
          <w:sz w:val="32"/>
          <w:szCs w:val="32"/>
        </w:rPr>
        <w:t>年度部门决算表</w:t>
      </w:r>
    </w:p>
    <w:p>
      <w:pPr>
        <w:autoSpaceDN w:val="0"/>
        <w:spacing w:line="560" w:lineRule="exact"/>
        <w:ind w:firstLineChars="200" w:firstLine="640"/>
        <w:rPr>
          <w:rFonts w:eastAsia="方正仿宋_GBK"/>
          <w:sz w:val="32"/>
          <w:szCs w:val="32"/>
        </w:rPr>
      </w:pPr>
      <w:r>
        <w:rPr>
          <w:rFonts w:eastAsia="方正仿宋_GBK" w:cs="方正仿宋_GBK" w:hint="eastAsia"/>
          <w:sz w:val="32"/>
          <w:szCs w:val="32"/>
          <w:lang w:eastAsia="zh-CN"/>
        </w:rPr>
        <w:t>一、</w:t>
      </w:r>
      <w:r>
        <w:rPr>
          <w:rFonts w:eastAsia="方正仿宋_GBK" w:cs="方正仿宋_GBK" w:hint="eastAsia"/>
          <w:sz w:val="32"/>
          <w:szCs w:val="32"/>
        </w:rPr>
        <w:t>收入支出决算总表</w:t>
      </w:r>
    </w:p>
    <w:p>
      <w:pPr>
        <w:autoSpaceDN w:val="0"/>
        <w:spacing w:line="560" w:lineRule="exact"/>
        <w:ind w:firstLineChars="200" w:firstLine="640"/>
        <w:rPr>
          <w:rFonts w:eastAsia="方正仿宋_GBK"/>
          <w:sz w:val="32"/>
          <w:szCs w:val="32"/>
        </w:rPr>
      </w:pPr>
      <w:r>
        <w:rPr>
          <w:rFonts w:eastAsia="方正仿宋_GBK" w:cs="方正仿宋_GBK" w:hint="eastAsia"/>
          <w:sz w:val="32"/>
          <w:szCs w:val="32"/>
          <w:lang w:eastAsia="zh-CN"/>
        </w:rPr>
        <w:t>二、</w:t>
      </w:r>
      <w:r>
        <w:rPr>
          <w:rFonts w:eastAsia="方正仿宋_GBK" w:cs="方正仿宋_GBK" w:hint="eastAsia"/>
          <w:sz w:val="32"/>
          <w:szCs w:val="32"/>
        </w:rPr>
        <w:t>收入决算表</w:t>
      </w:r>
    </w:p>
    <w:p>
      <w:pPr>
        <w:autoSpaceDN w:val="0"/>
        <w:spacing w:line="560" w:lineRule="exact"/>
        <w:ind w:firstLineChars="200" w:firstLine="640"/>
        <w:rPr>
          <w:rFonts w:eastAsia="方正仿宋_GBK"/>
          <w:sz w:val="32"/>
          <w:szCs w:val="32"/>
        </w:rPr>
      </w:pPr>
      <w:r>
        <w:rPr>
          <w:rFonts w:eastAsia="方正仿宋_GBK" w:cs="方正仿宋_GBK" w:hint="eastAsia"/>
          <w:sz w:val="32"/>
          <w:szCs w:val="32"/>
          <w:lang w:eastAsia="zh-CN"/>
        </w:rPr>
        <w:t>三、</w:t>
      </w:r>
      <w:r>
        <w:rPr>
          <w:rFonts w:eastAsia="方正仿宋_GBK" w:cs="方正仿宋_GBK" w:hint="eastAsia"/>
          <w:sz w:val="32"/>
          <w:szCs w:val="32"/>
        </w:rPr>
        <w:t>支出决算表</w:t>
      </w:r>
    </w:p>
    <w:p>
      <w:pPr>
        <w:autoSpaceDN w:val="0"/>
        <w:spacing w:line="560" w:lineRule="exact"/>
        <w:ind w:firstLineChars="200" w:firstLine="640"/>
        <w:rPr>
          <w:rFonts w:eastAsia="方正仿宋_GBK"/>
          <w:sz w:val="32"/>
          <w:szCs w:val="32"/>
        </w:rPr>
      </w:pPr>
      <w:r>
        <w:rPr>
          <w:rFonts w:eastAsia="方正仿宋_GBK" w:cs="方正仿宋_GBK" w:hint="eastAsia"/>
          <w:sz w:val="32"/>
          <w:szCs w:val="32"/>
          <w:lang w:eastAsia="zh-CN"/>
        </w:rPr>
        <w:t>四、</w:t>
      </w:r>
      <w:r>
        <w:rPr>
          <w:rFonts w:eastAsia="方正仿宋_GBK" w:cs="方正仿宋_GBK" w:hint="eastAsia"/>
          <w:sz w:val="32"/>
          <w:szCs w:val="32"/>
        </w:rPr>
        <w:t>财政拨款收入支出决算总表</w:t>
      </w:r>
    </w:p>
    <w:p>
      <w:pPr>
        <w:autoSpaceDN w:val="0"/>
        <w:spacing w:line="560" w:lineRule="exact"/>
        <w:ind w:firstLineChars="200" w:firstLine="640"/>
        <w:rPr>
          <w:rFonts w:eastAsia="方正仿宋_GBK"/>
          <w:sz w:val="32"/>
          <w:szCs w:val="32"/>
        </w:rPr>
      </w:pPr>
      <w:r>
        <w:rPr>
          <w:rFonts w:eastAsia="方正仿宋_GBK" w:cs="方正仿宋_GBK" w:hint="eastAsia"/>
          <w:sz w:val="32"/>
          <w:szCs w:val="32"/>
          <w:lang w:eastAsia="zh-CN"/>
        </w:rPr>
        <w:t>五、</w:t>
      </w:r>
      <w:r>
        <w:rPr>
          <w:rFonts w:eastAsia="方正仿宋_GBK" w:cs="方正仿宋_GBK" w:hint="eastAsia"/>
          <w:sz w:val="32"/>
          <w:szCs w:val="32"/>
        </w:rPr>
        <w:t>一般公共预算财政拨款支出决算表</w:t>
      </w:r>
    </w:p>
    <w:p>
      <w:pPr>
        <w:autoSpaceDN w:val="0"/>
        <w:spacing w:line="560" w:lineRule="exact"/>
        <w:ind w:firstLineChars="200" w:firstLine="640"/>
        <w:rPr>
          <w:rFonts w:eastAsia="方正仿宋_GBK"/>
          <w:sz w:val="32"/>
          <w:szCs w:val="32"/>
        </w:rPr>
      </w:pPr>
      <w:r>
        <w:rPr>
          <w:rFonts w:eastAsia="方正仿宋_GBK" w:cs="方正仿宋_GBK" w:hint="eastAsia"/>
          <w:sz w:val="32"/>
          <w:szCs w:val="32"/>
          <w:lang w:eastAsia="zh-CN"/>
        </w:rPr>
        <w:t>六、</w:t>
      </w:r>
      <w:r>
        <w:rPr>
          <w:rFonts w:eastAsia="方正仿宋_GBK" w:cs="方正仿宋_GBK" w:hint="eastAsia"/>
          <w:sz w:val="32"/>
          <w:szCs w:val="32"/>
        </w:rPr>
        <w:t>一般公共预算财政拨款基本支出决算表</w:t>
      </w:r>
    </w:p>
    <w:p>
      <w:pPr>
        <w:autoSpaceDN w:val="0"/>
        <w:spacing w:line="560" w:lineRule="exact"/>
        <w:ind w:firstLineChars="200" w:firstLine="640"/>
        <w:rPr>
          <w:rFonts w:eastAsia="方正仿宋_GBK"/>
          <w:sz w:val="32"/>
          <w:szCs w:val="32"/>
        </w:rPr>
      </w:pPr>
      <w:r>
        <w:rPr>
          <w:rFonts w:eastAsia="方正仿宋_GBK" w:cs="方正仿宋_GBK" w:hint="eastAsia"/>
          <w:sz w:val="32"/>
          <w:szCs w:val="32"/>
          <w:lang w:eastAsia="zh-CN"/>
        </w:rPr>
        <w:t>七、</w:t>
      </w:r>
      <w:r>
        <w:rPr>
          <w:rFonts w:eastAsia="方正仿宋_GBK" w:cs="方正仿宋_GBK" w:hint="eastAsia"/>
          <w:sz w:val="32"/>
          <w:szCs w:val="32"/>
        </w:rPr>
        <w:t>一般公共预算财政拨款</w:t>
      </w:r>
      <w:r>
        <w:rPr>
          <w:rFonts w:ascii="方正仿宋_GBK" w:eastAsia="方正仿宋_GBK" w:hint="eastAsia"/>
          <w:sz w:val="32"/>
          <w:szCs w:val="32"/>
        </w:rPr>
        <w:t>“</w:t>
      </w:r>
      <w:r>
        <w:rPr>
          <w:rFonts w:eastAsia="方正仿宋_GBK" w:cs="方正仿宋_GBK" w:hint="eastAsia"/>
          <w:sz w:val="32"/>
          <w:szCs w:val="32"/>
        </w:rPr>
        <w:t>三公</w:t>
      </w:r>
      <w:r>
        <w:rPr>
          <w:rFonts w:ascii="方正仿宋_GBK" w:eastAsia="方正仿宋_GBK" w:hint="eastAsia"/>
          <w:sz w:val="32"/>
          <w:szCs w:val="32"/>
        </w:rPr>
        <w:t>”</w:t>
      </w:r>
      <w:r>
        <w:rPr>
          <w:rFonts w:eastAsia="方正仿宋_GBK" w:cs="方正仿宋_GBK" w:hint="eastAsia"/>
          <w:sz w:val="32"/>
          <w:szCs w:val="32"/>
        </w:rPr>
        <w:t>经费支出决算表</w:t>
      </w:r>
    </w:p>
    <w:p>
      <w:pPr>
        <w:autoSpaceDN w:val="0"/>
        <w:spacing w:line="560" w:lineRule="exact"/>
        <w:ind w:firstLineChars="200" w:firstLine="640"/>
        <w:rPr>
          <w:rFonts w:eastAsia="方正仿宋_GBK"/>
          <w:sz w:val="32"/>
          <w:szCs w:val="32"/>
        </w:rPr>
      </w:pPr>
      <w:r>
        <w:rPr>
          <w:rFonts w:eastAsia="方正仿宋_GBK" w:cs="方正仿宋_GBK" w:hint="eastAsia"/>
          <w:sz w:val="32"/>
          <w:szCs w:val="32"/>
          <w:lang w:eastAsia="zh-CN"/>
        </w:rPr>
        <w:t>八、</w:t>
      </w:r>
      <w:r>
        <w:rPr>
          <w:rFonts w:eastAsia="方正仿宋_GBK" w:cs="方正仿宋_GBK" w:hint="eastAsia"/>
          <w:sz w:val="32"/>
          <w:szCs w:val="32"/>
        </w:rPr>
        <w:t>政府性基金预算财政拨款收入支出决算表</w:t>
      </w:r>
    </w:p>
    <w:p>
      <w:pPr>
        <w:autoSpaceDN w:val="0"/>
        <w:spacing w:line="560" w:lineRule="exact"/>
        <w:ind w:firstLineChars="200" w:firstLine="640"/>
        <w:rPr>
          <w:rFonts w:eastAsia="方正仿宋_GBK"/>
          <w:sz w:val="32"/>
          <w:szCs w:val="32"/>
        </w:rPr>
      </w:pPr>
      <w:r>
        <w:rPr>
          <w:rFonts w:eastAsia="方正仿宋_GBK" w:cs="方正仿宋_GBK" w:hint="eastAsia"/>
          <w:sz w:val="32"/>
          <w:szCs w:val="32"/>
          <w:lang w:eastAsia="zh-CN"/>
        </w:rPr>
        <w:t>九、</w:t>
      </w:r>
      <w:r>
        <w:rPr>
          <w:rFonts w:eastAsia="方正仿宋_GBK" w:cs="方正仿宋_GBK" w:hint="eastAsia"/>
          <w:sz w:val="32"/>
          <w:szCs w:val="32"/>
        </w:rPr>
        <w:t>国有资本经营预算财政拨款支出决算表</w:t>
      </w:r>
    </w:p>
    <w:p>
      <w:pPr>
        <w:autoSpaceDN w:val="0"/>
        <w:spacing w:line="560" w:lineRule="exact"/>
        <w:rPr>
          <w:rFonts w:eastAsia="方正黑体_GBK"/>
          <w:sz w:val="32"/>
          <w:szCs w:val="32"/>
        </w:rPr>
      </w:pPr>
      <w:r>
        <w:rPr>
          <w:rFonts w:eastAsia="方正黑体_GBK" w:cs="方正黑体_GBK" w:hint="eastAsia"/>
          <w:sz w:val="32"/>
          <w:szCs w:val="32"/>
          <w:lang w:eastAsia="zh-CN"/>
        </w:rPr>
        <w:t>第三部分</w:t>
      </w:r>
      <w:r>
        <w:rPr>
          <w:rFonts w:eastAsia="方正黑体_GBK" w:cs="方正黑体_GBK" w:hint="eastAsia"/>
          <w:sz w:val="32"/>
          <w:szCs w:val="32"/>
          <w:lang w:val="en-US" w:eastAsia="zh-CN"/>
        </w:rPr>
        <w:t xml:space="preserve"> </w:t>
      </w:r>
      <w:r>
        <w:rPr>
          <w:rFonts w:eastAsia="方正黑体_GBK"/>
          <w:sz w:val="32"/>
          <w:szCs w:val="32"/>
        </w:rPr>
        <w:t>202</w:t>
      </w:r>
      <w:r>
        <w:rPr>
          <w:rFonts w:eastAsia="方正黑体_GBK" w:hint="eastAsia"/>
          <w:sz w:val="32"/>
          <w:szCs w:val="32"/>
          <w:lang w:val="en-US" w:eastAsia="zh-CN"/>
        </w:rPr>
        <w:t>5</w:t>
      </w:r>
      <w:r>
        <w:rPr>
          <w:rFonts w:eastAsia="方正黑体_GBK" w:cs="方正黑体_GBK" w:hint="eastAsia"/>
          <w:sz w:val="32"/>
          <w:szCs w:val="32"/>
        </w:rPr>
        <w:t>年度部门决算情况说明</w:t>
      </w:r>
    </w:p>
    <w:p>
      <w:pPr>
        <w:autoSpaceDN w:val="0"/>
        <w:spacing w:line="560" w:lineRule="exact"/>
        <w:ind w:firstLineChars="200" w:firstLine="640"/>
        <w:rPr>
          <w:rFonts w:eastAsia="方正仿宋_GBK"/>
          <w:sz w:val="32"/>
          <w:szCs w:val="32"/>
        </w:rPr>
      </w:pPr>
      <w:r>
        <w:rPr>
          <w:rFonts w:eastAsia="方正仿宋_GBK" w:cs="方正仿宋_GBK" w:hint="eastAsia"/>
          <w:sz w:val="32"/>
          <w:szCs w:val="32"/>
          <w:lang w:eastAsia="zh-CN"/>
        </w:rPr>
        <w:t>一、</w:t>
      </w:r>
      <w:r>
        <w:rPr>
          <w:rFonts w:eastAsia="方正仿宋_GBK" w:cs="方正仿宋_GBK" w:hint="eastAsia"/>
          <w:sz w:val="32"/>
          <w:szCs w:val="32"/>
        </w:rPr>
        <w:t>收入支出决算总体情况说明</w:t>
      </w:r>
    </w:p>
    <w:p>
      <w:pPr>
        <w:autoSpaceDN w:val="0"/>
        <w:spacing w:line="560" w:lineRule="exact"/>
        <w:ind w:firstLineChars="200" w:firstLine="640"/>
        <w:rPr>
          <w:rFonts w:eastAsia="方正仿宋_GBK"/>
          <w:sz w:val="32"/>
          <w:szCs w:val="32"/>
        </w:rPr>
      </w:pPr>
      <w:r>
        <w:rPr>
          <w:rFonts w:eastAsia="方正仿宋_GBK" w:cs="方正仿宋_GBK" w:hint="eastAsia"/>
          <w:sz w:val="32"/>
          <w:szCs w:val="32"/>
          <w:lang w:eastAsia="zh-CN"/>
        </w:rPr>
        <w:t>二、</w:t>
      </w:r>
      <w:r>
        <w:rPr>
          <w:rFonts w:eastAsia="方正仿宋_GBK" w:cs="方正仿宋_GBK" w:hint="eastAsia"/>
          <w:sz w:val="32"/>
          <w:szCs w:val="32"/>
        </w:rPr>
        <w:t>收入决算情况说明</w:t>
      </w:r>
    </w:p>
    <w:p>
      <w:pPr>
        <w:autoSpaceDN w:val="0"/>
        <w:spacing w:line="560" w:lineRule="exact"/>
        <w:ind w:firstLineChars="200" w:firstLine="640"/>
        <w:rPr>
          <w:rFonts w:eastAsia="方正仿宋_GBK"/>
          <w:sz w:val="32"/>
          <w:szCs w:val="32"/>
        </w:rPr>
      </w:pPr>
      <w:r>
        <w:rPr>
          <w:rFonts w:eastAsia="方正仿宋_GBK" w:cs="方正仿宋_GBK" w:hint="eastAsia"/>
          <w:sz w:val="32"/>
          <w:szCs w:val="32"/>
          <w:lang w:eastAsia="zh-CN"/>
        </w:rPr>
        <w:t>三、</w:t>
      </w:r>
      <w:r>
        <w:rPr>
          <w:rFonts w:eastAsia="方正仿宋_GBK" w:cs="方正仿宋_GBK" w:hint="eastAsia"/>
          <w:sz w:val="32"/>
          <w:szCs w:val="32"/>
        </w:rPr>
        <w:t>支出决算情况说明</w:t>
      </w:r>
    </w:p>
    <w:p>
      <w:pPr>
        <w:autoSpaceDN w:val="0"/>
        <w:spacing w:line="560" w:lineRule="exact"/>
        <w:ind w:firstLineChars="200" w:firstLine="640"/>
        <w:rPr>
          <w:rFonts w:eastAsia="方正仿宋_GBK"/>
          <w:sz w:val="32"/>
          <w:szCs w:val="32"/>
        </w:rPr>
      </w:pPr>
      <w:r>
        <w:rPr>
          <w:rFonts w:eastAsia="方正仿宋_GBK" w:cs="方正仿宋_GBK" w:hint="eastAsia"/>
          <w:sz w:val="32"/>
          <w:szCs w:val="32"/>
          <w:lang w:eastAsia="zh-CN"/>
        </w:rPr>
        <w:t>四、</w:t>
      </w:r>
      <w:r>
        <w:rPr>
          <w:rFonts w:eastAsia="方正仿宋_GBK" w:cs="方正仿宋_GBK" w:hint="eastAsia"/>
          <w:sz w:val="32"/>
          <w:szCs w:val="32"/>
        </w:rPr>
        <w:t>财政拨款收入支出总体情况说明</w:t>
      </w:r>
    </w:p>
    <w:p>
      <w:pPr>
        <w:autoSpaceDN w:val="0"/>
        <w:spacing w:line="560" w:lineRule="exact"/>
        <w:ind w:firstLineChars="200" w:firstLine="640"/>
        <w:rPr>
          <w:rFonts w:eastAsia="方正仿宋_GBK"/>
          <w:sz w:val="32"/>
          <w:szCs w:val="32"/>
        </w:rPr>
      </w:pPr>
      <w:r>
        <w:rPr>
          <w:rFonts w:eastAsia="方正仿宋_GBK" w:cs="方正仿宋_GBK" w:hint="eastAsia"/>
          <w:sz w:val="32"/>
          <w:szCs w:val="32"/>
          <w:lang w:eastAsia="zh-CN"/>
        </w:rPr>
        <w:t>五、</w:t>
      </w:r>
      <w:r>
        <w:rPr>
          <w:rFonts w:eastAsia="方正仿宋_GBK" w:cs="方正仿宋_GBK" w:hint="eastAsia"/>
          <w:sz w:val="32"/>
          <w:szCs w:val="32"/>
        </w:rPr>
        <w:t>一般公共预算财政拨款支出决算情况说明</w:t>
      </w:r>
    </w:p>
    <w:p>
      <w:pPr>
        <w:autoSpaceDN w:val="0"/>
        <w:spacing w:line="560" w:lineRule="exact"/>
        <w:ind w:firstLineChars="200" w:firstLine="640"/>
        <w:rPr>
          <w:rFonts w:eastAsia="方正仿宋_GBK" w:hint="eastAsia"/>
          <w:lang w:val="en-US" w:eastAsia="zh-CN"/>
        </w:rPr>
      </w:pPr>
      <w:r>
        <w:rPr>
          <w:rFonts w:eastAsia="方正仿宋_GBK" w:cs="方正仿宋_GBK" w:hint="eastAsia"/>
          <w:sz w:val="32"/>
          <w:szCs w:val="32"/>
          <w:lang w:eastAsia="zh-CN"/>
        </w:rPr>
        <w:t>六、</w:t>
      </w:r>
      <w:r>
        <w:rPr>
          <w:rFonts w:eastAsia="方正仿宋_GBK" w:cs="方正仿宋_GBK" w:hint="eastAsia"/>
          <w:sz w:val="32"/>
          <w:szCs w:val="32"/>
        </w:rPr>
        <w:t>一般公共预算财政拨款基本支出决算情况说明</w:t>
      </w:r>
    </w:p>
    <w:p>
      <w:pPr>
        <w:autoSpaceDN w:val="0"/>
        <w:spacing w:line="560" w:lineRule="exact"/>
        <w:ind w:firstLineChars="200" w:firstLine="640"/>
        <w:rPr>
          <w:rFonts w:eastAsia="方正仿宋_GBK" w:cs="方正仿宋_GBK" w:hint="eastAsia"/>
          <w:sz w:val="32"/>
          <w:szCs w:val="32"/>
          <w:lang w:eastAsia="zh-CN"/>
        </w:rPr>
      </w:pPr>
      <w:r>
        <w:rPr>
          <w:rFonts w:eastAsia="方正仿宋_GBK" w:cs="方正仿宋_GBK" w:hint="eastAsia"/>
          <w:sz w:val="32"/>
          <w:szCs w:val="32"/>
          <w:lang w:eastAsia="zh-CN"/>
        </w:rPr>
        <w:t>七、政府性基金预算财政拨款支出决算情况说明</w:t>
      </w:r>
    </w:p>
    <w:p>
      <w:pPr>
        <w:autoSpaceDN w:val="0"/>
        <w:spacing w:line="560" w:lineRule="exact"/>
        <w:ind w:firstLineChars="200" w:firstLine="640"/>
        <w:rPr>
          <w:rFonts w:eastAsia="方正仿宋_GBK"/>
          <w:sz w:val="32"/>
          <w:szCs w:val="32"/>
        </w:rPr>
      </w:pPr>
      <w:r>
        <w:rPr>
          <w:rFonts w:eastAsia="方正仿宋_GBK" w:cs="方正仿宋_GBK" w:hint="eastAsia"/>
          <w:sz w:val="32"/>
          <w:szCs w:val="32"/>
          <w:lang w:eastAsia="zh-CN"/>
        </w:rPr>
        <w:t>八、</w:t>
      </w:r>
      <w:r>
        <w:rPr>
          <w:rFonts w:eastAsia="方正仿宋_GBK" w:cs="方正仿宋_GBK" w:hint="eastAsia"/>
          <w:sz w:val="32"/>
          <w:szCs w:val="32"/>
        </w:rPr>
        <w:t>一般公共预算财政拨款</w:t>
      </w:r>
      <w:r>
        <w:rPr>
          <w:rFonts w:ascii="方正仿宋_GBK" w:eastAsia="方正仿宋_GBK" w:hint="eastAsia"/>
          <w:sz w:val="32"/>
          <w:szCs w:val="32"/>
        </w:rPr>
        <w:t>“</w:t>
      </w:r>
      <w:r>
        <w:rPr>
          <w:rFonts w:eastAsia="方正仿宋_GBK" w:cs="方正仿宋_GBK" w:hint="eastAsia"/>
          <w:sz w:val="32"/>
          <w:szCs w:val="32"/>
        </w:rPr>
        <w:t>三公</w:t>
      </w:r>
      <w:r>
        <w:rPr>
          <w:rFonts w:ascii="方正仿宋_GBK" w:eastAsia="方正仿宋_GBK" w:hint="eastAsia"/>
          <w:sz w:val="32"/>
          <w:szCs w:val="32"/>
        </w:rPr>
        <w:t>”</w:t>
      </w:r>
      <w:r>
        <w:rPr>
          <w:rFonts w:eastAsia="方正仿宋_GBK" w:cs="方正仿宋_GBK" w:hint="eastAsia"/>
          <w:sz w:val="32"/>
          <w:szCs w:val="32"/>
        </w:rPr>
        <w:t>经费支出决算情况说明</w:t>
      </w:r>
    </w:p>
    <w:p>
      <w:pPr>
        <w:autoSpaceDN w:val="0"/>
        <w:spacing w:line="560" w:lineRule="exact"/>
        <w:ind w:firstLineChars="200" w:firstLine="640"/>
        <w:rPr>
          <w:rFonts w:eastAsia="方正仿宋_GBK"/>
          <w:sz w:val="32"/>
          <w:szCs w:val="32"/>
        </w:rPr>
      </w:pPr>
      <w:r>
        <w:rPr>
          <w:rFonts w:eastAsia="方正仿宋_GBK" w:cs="方正仿宋_GBK" w:hint="eastAsia"/>
          <w:sz w:val="32"/>
          <w:szCs w:val="32"/>
          <w:lang w:eastAsia="zh-CN"/>
        </w:rPr>
        <w:t>九、</w:t>
      </w:r>
      <w:r>
        <w:rPr>
          <w:rFonts w:eastAsia="方正仿宋_GBK" w:cs="方正仿宋_GBK" w:hint="eastAsia"/>
          <w:sz w:val="32"/>
          <w:szCs w:val="32"/>
        </w:rPr>
        <w:t>机关运行经费支出说明</w:t>
      </w:r>
    </w:p>
    <w:p>
      <w:pPr>
        <w:autoSpaceDN w:val="0"/>
        <w:spacing w:line="560" w:lineRule="exact"/>
        <w:ind w:firstLineChars="200" w:firstLine="640"/>
        <w:rPr>
          <w:rFonts w:eastAsia="方正仿宋_GBK"/>
          <w:sz w:val="32"/>
          <w:szCs w:val="32"/>
        </w:rPr>
      </w:pPr>
      <w:r>
        <w:rPr>
          <w:rFonts w:eastAsia="方正仿宋_GBK" w:cs="方正仿宋_GBK" w:hint="eastAsia"/>
          <w:sz w:val="32"/>
          <w:szCs w:val="32"/>
          <w:lang w:eastAsia="zh-CN"/>
        </w:rPr>
        <w:t>十、</w:t>
      </w:r>
      <w:r>
        <w:rPr>
          <w:rFonts w:eastAsia="方正仿宋_GBK" w:cs="方正仿宋_GBK" w:hint="eastAsia"/>
          <w:sz w:val="32"/>
          <w:szCs w:val="32"/>
        </w:rPr>
        <w:t>政府采购支出说明</w:t>
      </w:r>
    </w:p>
    <w:p>
      <w:pPr>
        <w:autoSpaceDN w:val="0"/>
        <w:spacing w:line="560" w:lineRule="exact"/>
        <w:ind w:firstLineChars="200" w:firstLine="640"/>
        <w:rPr>
          <w:rFonts w:eastAsia="方正仿宋_GBK" w:cs="方正仿宋_GBK" w:hint="eastAsia"/>
          <w:sz w:val="32"/>
          <w:szCs w:val="32"/>
        </w:rPr>
      </w:pPr>
      <w:r>
        <w:rPr>
          <w:rFonts w:eastAsia="方正仿宋_GBK" w:cs="方正仿宋_GBK" w:hint="eastAsia"/>
          <w:sz w:val="32"/>
          <w:szCs w:val="32"/>
          <w:lang w:eastAsia="zh-CN"/>
        </w:rPr>
        <w:t>十一、</w:t>
      </w:r>
      <w:r>
        <w:rPr>
          <w:rFonts w:eastAsia="方正仿宋_GBK" w:cs="方正仿宋_GBK" w:hint="eastAsia"/>
          <w:sz w:val="32"/>
          <w:szCs w:val="32"/>
        </w:rPr>
        <w:t>国有资产占用情况说明</w:t>
      </w:r>
    </w:p>
    <w:p>
      <w:pPr>
        <w:pStyle w:val="15"/>
        <w:tabs>
          <w:tab w:val="left" w:pos="2531"/>
        </w:tabs>
        <w:rPr>
          <w:rFonts w:eastAsia="方正仿宋_GBK"/>
          <w:lang w:val="en-US" w:eastAsia="zh-CN"/>
        </w:rPr>
      </w:pPr>
      <w:r>
        <w:rPr>
          <w:rFonts w:cs="方正仿宋_GBK" w:hint="eastAsia"/>
          <w:sz w:val="32"/>
          <w:szCs w:val="32"/>
          <w:lang w:val="en-US" w:eastAsia="zh-CN"/>
        </w:rPr>
        <w:t xml:space="preserve">    十二、</w:t>
      </w:r>
      <w:r>
        <w:rPr>
          <w:rFonts w:eastAsia="方正仿宋_GBK" w:cs="方正仿宋_GBK" w:hint="eastAsia"/>
          <w:sz w:val="32"/>
          <w:szCs w:val="32"/>
        </w:rPr>
        <w:t>预算绩效情况说明</w:t>
      </w:r>
    </w:p>
    <w:p>
      <w:pPr>
        <w:autoSpaceDN w:val="0"/>
        <w:spacing w:line="560" w:lineRule="exact"/>
        <w:ind w:firstLineChars="100" w:firstLine="320"/>
        <w:rPr>
          <w:rFonts w:eastAsia="方正黑体_GBK" w:cs="方正黑体_GBK" w:hint="eastAsia"/>
          <w:sz w:val="32"/>
          <w:szCs w:val="32"/>
        </w:rPr>
      </w:pPr>
      <w:r>
        <w:rPr>
          <w:rFonts w:eastAsia="方正黑体_GBK" w:cs="方正黑体_GBK" w:hint="eastAsia"/>
          <w:sz w:val="32"/>
          <w:szCs w:val="32"/>
          <w:lang w:eastAsia="zh-CN"/>
        </w:rPr>
        <w:t>第四部分</w:t>
      </w:r>
      <w:r>
        <w:rPr>
          <w:rFonts w:eastAsia="方正黑体_GBK" w:cs="方正黑体_GBK" w:hint="eastAsia"/>
          <w:sz w:val="32"/>
          <w:szCs w:val="32"/>
          <w:lang w:val="en-US" w:eastAsia="zh-CN"/>
        </w:rPr>
        <w:t xml:space="preserve">  </w:t>
      </w:r>
      <w:r>
        <w:rPr>
          <w:rFonts w:eastAsia="方正黑体_GBK" w:cs="方正黑体_GBK" w:hint="eastAsia"/>
          <w:sz w:val="32"/>
          <w:szCs w:val="32"/>
        </w:rPr>
        <w:t>名词解释</w:t>
      </w:r>
    </w:p>
    <w:p>
      <w:pPr>
        <w:pStyle w:val="15"/>
        <w:rPr>
          <w:rFonts w:ascii="Times New Roman" w:eastAsia="方正黑体_GBK" w:cs="方正黑体_GBK" w:hAnsi="Times New Roman" w:hint="eastAsia"/>
          <w:kern w:val="2"/>
          <w:sz w:val="32"/>
          <w:szCs w:val="32"/>
          <w:lang w:val="en-US" w:eastAsia="zh-CN" w:bidi="ar-SA"/>
        </w:rPr>
      </w:pPr>
      <w:r>
        <w:rPr>
          <w:rFonts w:ascii="Times New Roman" w:eastAsia="方正黑体_GBK" w:cs="方正黑体_GBK" w:hAnsi="Times New Roman" w:hint="eastAsia"/>
          <w:kern w:val="2"/>
          <w:sz w:val="32"/>
          <w:szCs w:val="32"/>
          <w:lang w:val="en-US" w:eastAsia="zh-CN" w:bidi="ar-SA"/>
        </w:rPr>
        <w:t xml:space="preserve"> </w:t>
      </w:r>
      <w:r>
        <w:rPr>
          <w:rFonts w:eastAsia="方正黑体_GBK" w:cs="方正黑体_GBK" w:hint="eastAsia"/>
          <w:kern w:val="2"/>
          <w:sz w:val="32"/>
          <w:szCs w:val="32"/>
          <w:lang w:val="en-US" w:eastAsia="zh-CN" w:bidi="ar-SA"/>
        </w:rPr>
        <w:t xml:space="preserve"> </w:t>
      </w:r>
      <w:r>
        <w:rPr>
          <w:rFonts w:ascii="Times New Roman" w:eastAsia="方正黑体_GBK" w:cs="方正黑体_GBK" w:hAnsi="Times New Roman" w:hint="eastAsia"/>
          <w:kern w:val="2"/>
          <w:sz w:val="32"/>
          <w:szCs w:val="32"/>
          <w:lang w:val="en-US" w:eastAsia="zh-CN" w:bidi="ar-SA"/>
        </w:rPr>
        <w:t>第五部分  附件</w:t>
      </w:r>
    </w:p>
    <w:p>
      <w:pPr>
        <w:autoSpaceDN w:val="0"/>
        <w:spacing w:line="560" w:lineRule="exact"/>
      </w:pPr>
    </w:p>
    <w:p>
      <w:pPr>
        <w:autoSpaceDN w:val="0"/>
        <w:spacing w:line="560" w:lineRule="exact"/>
      </w:pPr>
    </w:p>
    <w:p>
      <w:pPr>
        <w:autoSpaceDN w:val="0"/>
        <w:spacing w:line="560" w:lineRule="exact"/>
      </w:pPr>
    </w:p>
    <w:p>
      <w:pPr>
        <w:autoSpaceDN w:val="0"/>
        <w:spacing w:line="560" w:lineRule="exact"/>
      </w:pPr>
    </w:p>
    <w:p>
      <w:pPr>
        <w:autoSpaceDN w:val="0"/>
        <w:spacing w:line="560" w:lineRule="exact"/>
      </w:pPr>
    </w:p>
    <w:p>
      <w:pPr>
        <w:autoSpaceDN w:val="0"/>
        <w:spacing w:line="560" w:lineRule="exact"/>
      </w:pPr>
    </w:p>
    <w:p>
      <w:pPr>
        <w:autoSpaceDN w:val="0"/>
        <w:spacing w:line="560" w:lineRule="exact"/>
      </w:pPr>
    </w:p>
    <w:p>
      <w:pPr>
        <w:autoSpaceDN w:val="0"/>
        <w:spacing w:line="560" w:lineRule="exact"/>
      </w:pPr>
    </w:p>
    <w:p>
      <w:pPr>
        <w:autoSpaceDN w:val="0"/>
        <w:spacing w:line="560" w:lineRule="exact"/>
      </w:pPr>
    </w:p>
    <w:p>
      <w:pPr>
        <w:autoSpaceDN w:val="0"/>
        <w:spacing w:line="560" w:lineRule="exact"/>
      </w:pPr>
    </w:p>
    <w:p>
      <w:pPr>
        <w:autoSpaceDN w:val="0"/>
        <w:spacing w:line="560" w:lineRule="exact"/>
      </w:pPr>
    </w:p>
    <w:p>
      <w:pPr>
        <w:autoSpaceDN w:val="0"/>
        <w:spacing w:line="560" w:lineRule="exact"/>
      </w:pPr>
    </w:p>
    <w:p>
      <w:pPr>
        <w:autoSpaceDN w:val="0"/>
        <w:spacing w:line="560" w:lineRule="exact"/>
      </w:pPr>
    </w:p>
    <w:p>
      <w:pPr>
        <w:autoSpaceDN w:val="0"/>
        <w:spacing w:line="560" w:lineRule="exact"/>
      </w:pPr>
    </w:p>
    <w:p>
      <w:pPr>
        <w:autoSpaceDN w:val="0"/>
        <w:spacing w:line="560" w:lineRule="exact"/>
      </w:pPr>
    </w:p>
    <w:p>
      <w:pPr>
        <w:autoSpaceDN w:val="0"/>
        <w:spacing w:line="560" w:lineRule="exact"/>
      </w:pPr>
    </w:p>
    <w:p>
      <w:pPr>
        <w:autoSpaceDN w:val="0"/>
        <w:spacing w:line="560" w:lineRule="exact"/>
      </w:pPr>
    </w:p>
    <w:p>
      <w:pPr>
        <w:autoSpaceDN w:val="0"/>
        <w:spacing w:line="560" w:lineRule="exact"/>
      </w:pPr>
    </w:p>
    <w:p>
      <w:pPr>
        <w:autoSpaceDN w:val="0"/>
        <w:spacing w:line="560" w:lineRule="exact"/>
      </w:pPr>
    </w:p>
    <w:p>
      <w:pPr>
        <w:autoSpaceDN w:val="0"/>
        <w:spacing w:line="560" w:lineRule="exact"/>
      </w:pPr>
    </w:p>
    <w:p>
      <w:pPr>
        <w:autoSpaceDN w:val="0"/>
        <w:spacing w:line="560" w:lineRule="exact"/>
        <w:ind w:left="0" w:firstLineChars="400" w:firstLine="1280"/>
        <w:rPr>
          <w:rFonts w:eastAsia="方正黑体_GBK" w:cs="方正黑体_GBK" w:hint="eastAsia"/>
          <w:sz w:val="32"/>
          <w:szCs w:val="32"/>
          <w:lang w:val="en-US" w:eastAsia="zh-CN"/>
        </w:rPr>
      </w:pPr>
    </w:p>
    <w:p>
      <w:pPr>
        <w:autoSpaceDN w:val="0"/>
        <w:spacing w:line="560" w:lineRule="exact"/>
        <w:ind w:left="0" w:firstLineChars="400" w:firstLine="1280"/>
        <w:rPr>
          <w:rFonts w:eastAsia="方正黑体_GBK" w:cs="方正黑体_GBK" w:hint="eastAsia"/>
          <w:sz w:val="32"/>
          <w:szCs w:val="32"/>
          <w:lang w:val="en-US" w:eastAsia="zh-CN"/>
        </w:rPr>
      </w:pPr>
    </w:p>
    <w:p>
      <w:pPr>
        <w:autoSpaceDN w:val="0"/>
        <w:spacing w:line="560" w:lineRule="exact"/>
        <w:ind w:left="0" w:firstLineChars="400" w:firstLine="1280"/>
        <w:rPr>
          <w:rFonts w:eastAsia="方正黑体_GBK" w:cs="方正黑体_GBK" w:hint="eastAsia"/>
          <w:sz w:val="32"/>
          <w:szCs w:val="32"/>
          <w:lang w:val="en-US" w:eastAsia="zh-CN"/>
        </w:rPr>
      </w:pPr>
    </w:p>
    <w:p>
      <w:pPr>
        <w:autoSpaceDN w:val="0"/>
        <w:spacing w:line="560" w:lineRule="exact"/>
        <w:ind w:left="0" w:firstLineChars="400" w:firstLine="3360"/>
        <w:rPr>
          <w:rFonts w:eastAsia="方正黑体_GBK" w:cs="方正黑体_GBK" w:hint="eastAsia"/>
          <w:sz w:val="84"/>
          <w:szCs w:val="84"/>
          <w:lang w:val="en-US" w:eastAsia="zh-CN"/>
        </w:rPr>
      </w:pPr>
    </w:p>
    <w:p>
      <w:pPr>
        <w:autoSpaceDN w:val="0"/>
        <w:spacing w:line="560" w:lineRule="exact"/>
        <w:ind w:left="0" w:firstLineChars="100" w:firstLine="520"/>
        <w:rPr>
          <w:rFonts w:eastAsia="方正黑体_GBK" w:cs="方正黑体_GBK" w:hint="eastAsia"/>
          <w:sz w:val="52"/>
          <w:szCs w:val="52"/>
        </w:rPr>
      </w:pPr>
      <w:r>
        <w:rPr>
          <w:rFonts w:eastAsia="方正黑体_GBK" w:cs="方正黑体_GBK" w:hint="eastAsia"/>
          <w:sz w:val="52"/>
          <w:szCs w:val="52"/>
          <w:lang w:val="en-US" w:eastAsia="zh-CN"/>
        </w:rPr>
        <w:t xml:space="preserve">第一部分   </w:t>
      </w:r>
      <w:r>
        <w:rPr>
          <w:rFonts w:eastAsia="方正黑体_GBK" w:cs="方正黑体_GBK" w:hint="eastAsia"/>
          <w:sz w:val="52"/>
          <w:szCs w:val="52"/>
          <w:lang w:eastAsia="zh-CN"/>
        </w:rPr>
        <w:t>额布都格海关</w:t>
      </w:r>
      <w:r>
        <w:rPr>
          <w:rFonts w:eastAsia="方正黑体_GBK" w:cs="方正黑体_GBK" w:hint="eastAsia"/>
          <w:sz w:val="52"/>
          <w:szCs w:val="52"/>
        </w:rPr>
        <w:t>概况</w:t>
      </w:r>
    </w:p>
    <w:p>
      <w:pPr>
        <w:pStyle w:val="15"/>
      </w:pPr>
    </w:p>
    <w:p>
      <w:pPr>
        <w:autoSpaceDN w:val="0"/>
        <w:spacing w:line="560" w:lineRule="exact"/>
        <w:ind w:firstLineChars="200" w:firstLine="640"/>
        <w:rPr>
          <w:rFonts w:eastAsia="方正楷体_GBK" w:cs="方正楷体_GBK" w:hint="eastAsia"/>
          <w:b/>
          <w:bCs/>
          <w:sz w:val="32"/>
          <w:szCs w:val="32"/>
        </w:rPr>
      </w:pPr>
    </w:p>
    <w:p>
      <w:pPr>
        <w:autoSpaceDN w:val="0"/>
        <w:spacing w:line="560" w:lineRule="exact"/>
        <w:ind w:firstLineChars="200" w:firstLine="640"/>
        <w:rPr>
          <w:rFonts w:eastAsia="方正楷体_GBK" w:cs="方正楷体_GBK" w:hint="eastAsia"/>
          <w:b/>
          <w:bCs/>
          <w:sz w:val="32"/>
          <w:szCs w:val="32"/>
        </w:rPr>
      </w:pPr>
    </w:p>
    <w:p>
      <w:pPr>
        <w:autoSpaceDN w:val="0"/>
        <w:spacing w:line="560" w:lineRule="exact"/>
        <w:ind w:firstLineChars="200" w:firstLine="640"/>
        <w:rPr>
          <w:rFonts w:eastAsia="方正楷体_GBK" w:cs="方正楷体_GBK" w:hint="eastAsia"/>
          <w:b/>
          <w:bCs/>
          <w:sz w:val="32"/>
          <w:szCs w:val="32"/>
        </w:rPr>
      </w:pPr>
    </w:p>
    <w:p>
      <w:pPr>
        <w:autoSpaceDN w:val="0"/>
        <w:spacing w:line="560" w:lineRule="exact"/>
        <w:ind w:firstLineChars="200" w:firstLine="640"/>
        <w:rPr>
          <w:rFonts w:eastAsia="方正楷体_GBK" w:cs="方正楷体_GBK" w:hint="eastAsia"/>
          <w:b/>
          <w:bCs/>
          <w:sz w:val="32"/>
          <w:szCs w:val="32"/>
        </w:rPr>
      </w:pPr>
    </w:p>
    <w:p>
      <w:pPr>
        <w:autoSpaceDN w:val="0"/>
        <w:spacing w:line="560" w:lineRule="exact"/>
        <w:ind w:firstLineChars="200" w:firstLine="640"/>
        <w:rPr>
          <w:rFonts w:eastAsia="方正楷体_GBK" w:cs="方正楷体_GBK" w:hint="eastAsia"/>
          <w:b/>
          <w:bCs/>
          <w:sz w:val="32"/>
          <w:szCs w:val="32"/>
        </w:rPr>
      </w:pPr>
    </w:p>
    <w:p>
      <w:pPr>
        <w:autoSpaceDN w:val="0"/>
        <w:spacing w:line="560" w:lineRule="exact"/>
        <w:ind w:firstLineChars="200" w:firstLine="640"/>
        <w:rPr>
          <w:rFonts w:eastAsia="方正楷体_GBK" w:cs="方正楷体_GBK" w:hint="eastAsia"/>
          <w:b/>
          <w:bCs/>
          <w:sz w:val="32"/>
          <w:szCs w:val="32"/>
        </w:rPr>
      </w:pPr>
    </w:p>
    <w:p>
      <w:pPr>
        <w:autoSpaceDN w:val="0"/>
        <w:spacing w:line="560" w:lineRule="exact"/>
        <w:ind w:firstLineChars="200" w:firstLine="640"/>
        <w:rPr>
          <w:rFonts w:eastAsia="方正楷体_GBK" w:cs="方正楷体_GBK" w:hint="eastAsia"/>
          <w:b/>
          <w:bCs/>
          <w:sz w:val="32"/>
          <w:szCs w:val="32"/>
        </w:rPr>
      </w:pPr>
    </w:p>
    <w:p>
      <w:pPr>
        <w:autoSpaceDN w:val="0"/>
        <w:spacing w:line="560" w:lineRule="exact"/>
        <w:ind w:firstLineChars="200" w:firstLine="640"/>
        <w:rPr>
          <w:rFonts w:eastAsia="方正楷体_GBK" w:cs="方正楷体_GBK" w:hint="eastAsia"/>
          <w:b/>
          <w:bCs/>
          <w:sz w:val="32"/>
          <w:szCs w:val="32"/>
        </w:rPr>
      </w:pPr>
    </w:p>
    <w:p>
      <w:pPr>
        <w:autoSpaceDN w:val="0"/>
        <w:spacing w:line="560" w:lineRule="exact"/>
        <w:ind w:firstLineChars="200" w:firstLine="640"/>
        <w:rPr>
          <w:rFonts w:eastAsia="方正楷体_GBK" w:cs="方正楷体_GBK" w:hint="eastAsia"/>
          <w:b/>
          <w:bCs/>
          <w:sz w:val="32"/>
          <w:szCs w:val="32"/>
        </w:rPr>
      </w:pPr>
    </w:p>
    <w:p>
      <w:pPr>
        <w:autoSpaceDN w:val="0"/>
        <w:spacing w:line="560" w:lineRule="exact"/>
        <w:ind w:firstLineChars="200" w:firstLine="640"/>
        <w:rPr>
          <w:rFonts w:eastAsia="方正楷体_GBK" w:cs="方正楷体_GBK" w:hint="eastAsia"/>
          <w:b/>
          <w:bCs/>
          <w:sz w:val="32"/>
          <w:szCs w:val="32"/>
        </w:rPr>
      </w:pPr>
    </w:p>
    <w:p>
      <w:pPr>
        <w:autoSpaceDN w:val="0"/>
        <w:spacing w:line="560" w:lineRule="exact"/>
        <w:ind w:firstLineChars="200" w:firstLine="640"/>
        <w:rPr>
          <w:rFonts w:eastAsia="方正楷体_GBK" w:cs="方正楷体_GBK" w:hint="eastAsia"/>
          <w:b/>
          <w:bCs/>
          <w:sz w:val="32"/>
          <w:szCs w:val="32"/>
        </w:rPr>
      </w:pPr>
    </w:p>
    <w:p>
      <w:pPr>
        <w:autoSpaceDN w:val="0"/>
        <w:spacing w:line="560" w:lineRule="exact"/>
        <w:ind w:firstLineChars="200" w:firstLine="640"/>
        <w:rPr>
          <w:rFonts w:eastAsia="方正楷体_GBK" w:cs="方正楷体_GBK" w:hint="eastAsia"/>
          <w:b/>
          <w:bCs/>
          <w:sz w:val="32"/>
          <w:szCs w:val="32"/>
        </w:rPr>
      </w:pPr>
    </w:p>
    <w:p>
      <w:pPr>
        <w:autoSpaceDN w:val="0"/>
        <w:spacing w:line="560" w:lineRule="exact"/>
        <w:ind w:firstLineChars="200" w:firstLine="640"/>
        <w:rPr>
          <w:rFonts w:eastAsia="方正楷体_GBK" w:cs="方正楷体_GBK" w:hint="eastAsia"/>
          <w:b/>
          <w:bCs/>
          <w:sz w:val="32"/>
          <w:szCs w:val="32"/>
        </w:rPr>
      </w:pPr>
    </w:p>
    <w:p>
      <w:pPr>
        <w:autoSpaceDN w:val="0"/>
        <w:spacing w:line="560" w:lineRule="exact"/>
        <w:ind w:firstLineChars="200" w:firstLine="640"/>
        <w:rPr>
          <w:rFonts w:eastAsia="方正楷体_GBK" w:cs="方正楷体_GBK" w:hint="eastAsia"/>
          <w:b/>
          <w:bCs/>
          <w:sz w:val="32"/>
          <w:szCs w:val="32"/>
        </w:rPr>
      </w:pPr>
    </w:p>
    <w:p>
      <w:pPr>
        <w:autoSpaceDN w:val="0"/>
        <w:spacing w:line="560" w:lineRule="exact"/>
        <w:ind w:firstLineChars="200" w:firstLine="640"/>
        <w:rPr>
          <w:rFonts w:eastAsia="方正楷体_GBK" w:cs="方正楷体_GBK"/>
          <w:b/>
          <w:bCs/>
          <w:sz w:val="32"/>
          <w:szCs w:val="32"/>
        </w:rPr>
      </w:pPr>
    </w:p>
    <w:p>
      <w:pPr>
        <w:pStyle w:val="15"/>
        <w:autoSpaceDN w:val="0"/>
        <w:spacing w:line="560" w:lineRule="exact"/>
        <w:ind w:firstLineChars="200" w:firstLine="640"/>
      </w:pPr>
    </w:p>
    <w:p>
      <w:pPr>
        <w:autoSpaceDN w:val="0"/>
        <w:spacing w:line="560" w:lineRule="exact"/>
        <w:ind w:firstLineChars="200" w:firstLine="640"/>
        <w:rPr>
          <w:rFonts w:eastAsia="方正楷体_GBK"/>
          <w:b/>
          <w:bCs/>
          <w:sz w:val="32"/>
          <w:szCs w:val="32"/>
        </w:rPr>
      </w:pPr>
      <w:r>
        <w:rPr>
          <w:rFonts w:eastAsia="方正楷体_GBK" w:cs="方正楷体_GBK" w:hint="eastAsia"/>
          <w:b/>
          <w:bCs/>
          <w:sz w:val="32"/>
          <w:szCs w:val="32"/>
          <w:lang w:eastAsia="zh-CN"/>
        </w:rPr>
        <w:t>一、部门职责</w:t>
      </w:r>
    </w:p>
    <w:p>
      <w:pPr>
        <w:autoSpaceDN w:val="0"/>
        <w:spacing w:line="560" w:lineRule="exact"/>
        <w:ind w:firstLineChars="200" w:firstLine="624"/>
        <w:rPr>
          <w:rFonts w:eastAsia="方正仿宋_GBK" w:cs="方正仿宋_GBK" w:hint="eastAsia"/>
          <w:spacing w:val="-4"/>
          <w:kern w:val="0"/>
          <w:sz w:val="32"/>
          <w:szCs w:val="32"/>
        </w:rPr>
      </w:pPr>
      <w:r>
        <w:rPr>
          <w:rFonts w:eastAsia="方正仿宋_GBK" w:cs="方正仿宋_GBK" w:hint="eastAsia"/>
          <w:spacing w:val="-4"/>
          <w:kern w:val="0"/>
          <w:sz w:val="32"/>
          <w:szCs w:val="32"/>
          <w:lang w:bidi="ar-SA"/>
        </w:rPr>
        <w:t>额布都格海关是隶属于满洲里海关的正处级隶属海关，成立于2020年11月。</w:t>
      </w:r>
      <w:r>
        <w:rPr>
          <w:rFonts w:eastAsia="方正仿宋_GBK" w:cs="方正仿宋_GBK"/>
          <w:sz w:val="32"/>
          <w:szCs w:val="32"/>
        </w:rPr>
        <w:t>额布都格海关功能类型为口岸型海关，管辖额布都格口岸和相关区域范围内的海关监管工作。</w:t>
      </w:r>
    </w:p>
    <w:p>
      <w:pPr>
        <w:autoSpaceDN w:val="0"/>
        <w:spacing w:line="560" w:lineRule="exact"/>
        <w:ind w:firstLineChars="200" w:firstLine="640"/>
        <w:rPr>
          <w:rFonts w:eastAsia="方正楷体_GBK"/>
          <w:b/>
          <w:bCs/>
          <w:sz w:val="32"/>
          <w:szCs w:val="32"/>
        </w:rPr>
      </w:pPr>
      <w:r>
        <w:rPr>
          <w:rFonts w:eastAsia="方正楷体_GBK" w:cs="方正楷体_GBK" w:hint="eastAsia"/>
          <w:b/>
          <w:bCs/>
          <w:sz w:val="32"/>
          <w:szCs w:val="32"/>
          <w:lang w:eastAsia="zh-CN"/>
        </w:rPr>
        <w:t>二、</w:t>
      </w:r>
      <w:r>
        <w:rPr>
          <w:rFonts w:eastAsia="方正楷体_GBK" w:cs="方正楷体_GBK" w:hint="eastAsia"/>
          <w:b/>
          <w:bCs/>
          <w:sz w:val="32"/>
          <w:szCs w:val="32"/>
        </w:rPr>
        <w:t>机构设置</w:t>
      </w:r>
    </w:p>
    <w:p>
      <w:pPr>
        <w:spacing w:line="560" w:lineRule="exact"/>
        <w:ind w:firstLineChars="200" w:firstLine="624"/>
        <w:sectPr>
          <w:pgSz w:w="11907" w:h="16840"/>
          <w:pgMar w:top="1440" w:right="1797" w:bottom="1440" w:left="1797" w:header="851" w:footer="992" w:gutter="0"/>
          <w:docGrid w:type="lines" w:linePitch="312" w:charSpace="0"/>
        </w:sectPr>
      </w:pPr>
      <w:r>
        <w:rPr>
          <w:rFonts w:eastAsia="方正仿宋_GBK" w:cs="方正仿宋_GBK"/>
          <w:spacing w:val="-4"/>
          <w:kern w:val="0"/>
          <w:sz w:val="32"/>
          <w:szCs w:val="32"/>
          <w:lang w:bidi="ar-SA"/>
        </w:rPr>
        <w:t>额布都格海关人员编制27人，目前在编</w:t>
      </w:r>
      <w:r>
        <w:rPr>
          <w:rFonts w:eastAsia="方正仿宋_GBK" w:cs="方正仿宋_GBK"/>
          <w:spacing w:val="-4"/>
          <w:kern w:val="0"/>
          <w:sz w:val="32"/>
          <w:szCs w:val="32"/>
          <w:lang w:val="en-US" w:eastAsia="zh-CN" w:bidi="ar-SA"/>
        </w:rPr>
        <w:t>26</w:t>
      </w:r>
      <w:r>
        <w:rPr>
          <w:rFonts w:eastAsia="方正仿宋_GBK" w:cs="方正仿宋_GBK"/>
          <w:spacing w:val="-4"/>
          <w:kern w:val="0"/>
          <w:sz w:val="32"/>
          <w:szCs w:val="32"/>
          <w:lang w:bidi="ar-SA"/>
        </w:rPr>
        <w:t>人，其中处级领导干部3名，正科长4名、副科长2名。下设办公室、综合业务科、监管一科、监管二科4个科级机构</w:t>
      </w:r>
      <w:r>
        <w:rPr>
          <w:rFonts w:eastAsia="方正仿宋_GBK" w:cs="方正仿宋_GBK" w:hint="eastAsia"/>
          <w:spacing w:val="-4"/>
          <w:kern w:val="0"/>
          <w:sz w:val="32"/>
          <w:szCs w:val="32"/>
          <w:lang w:eastAsia="zh-CN" w:bidi="ar-SA"/>
        </w:rPr>
        <w:t>。</w:t>
      </w:r>
    </w:p>
    <w:p>
      <w:pPr>
        <w:widowControl/>
        <w:autoSpaceDN w:val="0"/>
        <w:spacing w:line="560" w:lineRule="exact"/>
        <w:ind w:firstLineChars="1000" w:firstLine="8400"/>
        <w:jc w:val="left"/>
        <w:rPr>
          <w:rFonts w:eastAsia="方正黑体_GBK" w:cs="方正黑体_GBK" w:hint="eastAsia"/>
          <w:kern w:val="0"/>
          <w:sz w:val="84"/>
          <w:szCs w:val="84"/>
          <w:lang w:eastAsia="zh-CN"/>
        </w:rPr>
      </w:pPr>
    </w:p>
    <w:p>
      <w:pPr>
        <w:widowControl/>
        <w:autoSpaceDN w:val="0"/>
        <w:spacing w:line="560" w:lineRule="exact"/>
        <w:ind w:firstLineChars="600" w:firstLine="3120"/>
        <w:jc w:val="left"/>
        <w:rPr>
          <w:rFonts w:eastAsia="方正黑体_GBK"/>
          <w:kern w:val="0"/>
          <w:sz w:val="52"/>
          <w:szCs w:val="52"/>
        </w:rPr>
      </w:pPr>
      <w:r>
        <w:rPr>
          <w:rFonts w:eastAsia="方正黑体_GBK" w:cs="方正黑体_GBK" w:hint="eastAsia"/>
          <w:kern w:val="0"/>
          <w:sz w:val="52"/>
          <w:szCs w:val="52"/>
          <w:lang w:eastAsia="zh-CN"/>
        </w:rPr>
        <w:t>第二部分</w:t>
      </w:r>
      <w:r>
        <w:rPr>
          <w:rFonts w:eastAsia="方正黑体_GBK" w:cs="方正黑体_GBK" w:hint="eastAsia"/>
          <w:kern w:val="0"/>
          <w:sz w:val="52"/>
          <w:szCs w:val="52"/>
          <w:lang w:val="en-US" w:eastAsia="zh-CN"/>
        </w:rPr>
        <w:t xml:space="preserve">  </w:t>
      </w:r>
      <w:r>
        <w:rPr>
          <w:rFonts w:eastAsia="方正黑体_GBK"/>
          <w:kern w:val="0"/>
          <w:sz w:val="52"/>
          <w:szCs w:val="52"/>
        </w:rPr>
        <w:t>202</w:t>
      </w:r>
      <w:r>
        <w:rPr>
          <w:rFonts w:eastAsia="方正黑体_GBK" w:cs="方正黑体_GBK" w:hint="eastAsia"/>
          <w:kern w:val="0"/>
          <w:sz w:val="52"/>
          <w:szCs w:val="52"/>
          <w:lang w:val="en-US" w:eastAsia="zh-CN"/>
        </w:rPr>
        <w:t>5</w:t>
      </w:r>
      <w:r>
        <w:rPr>
          <w:rFonts w:eastAsia="方正黑体_GBK" w:cs="方正黑体_GBK" w:hint="eastAsia"/>
          <w:kern w:val="0"/>
          <w:sz w:val="52"/>
          <w:szCs w:val="52"/>
        </w:rPr>
        <w:t>度部门决算表</w:t>
      </w:r>
    </w:p>
    <w:tbl>
      <w:tblPr>
        <w:tblpPr w:leftFromText="180" w:rightFromText="180" w:vertAnchor="text" w:horzAnchor="page" w:tblpX="1229" w:tblpY="585"/>
        <w:tblOverlap w:val="never"/>
        <w:tblW w:w="5141" w:type="pct"/>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067"/>
        <w:gridCol w:w="2589"/>
        <w:gridCol w:w="499"/>
        <w:gridCol w:w="254"/>
        <w:gridCol w:w="1373"/>
        <w:gridCol w:w="1367"/>
        <w:gridCol w:w="1367"/>
        <w:gridCol w:w="983"/>
        <w:gridCol w:w="983"/>
        <w:gridCol w:w="2790"/>
        <w:gridCol w:w="1303"/>
      </w:tblGrid>
      <w:tr>
        <w:trPr>
          <w:trHeight w:val="7906"/>
          <w:gridAfter w:val="1"/>
          <w:wAfter w:w="1303" w:type="dxa"/>
        </w:trPr>
        <w:tc>
          <w:tcPr>
            <w:tcW w:w="4552" w:type="pct"/>
            <w:gridSpan w:val="10"/>
            <w:tcBorders>
              <w:top w:val="nil"/>
              <w:left w:val="nil"/>
              <w:bottom w:val="nil"/>
              <w:right w:val="nil"/>
            </w:tcBorders>
            <w:noWrap/>
            <w:vAlign w:val="center"/>
          </w:tcPr>
          <w:tbl>
            <w:tblPr>
              <w:jc w:val="left"/>
              <w:tblInd w:w="-5" w:type="dxa"/>
              <w:tblW w:w="13079"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4"/>
              <w:gridCol w:w="5314"/>
              <w:gridCol w:w="4"/>
              <w:gridCol w:w="658"/>
              <w:gridCol w:w="4"/>
              <w:gridCol w:w="730"/>
              <w:gridCol w:w="150"/>
              <w:gridCol w:w="1764"/>
              <w:gridCol w:w="1783"/>
              <w:gridCol w:w="221"/>
              <w:gridCol w:w="441"/>
              <w:gridCol w:w="1997"/>
              <w:gridCol w:w="8"/>
            </w:tblGrid>
            <w:tr>
              <w:trPr>
                <w:trHeight w:val="483"/>
                <w:gridBefore w:val="1"/>
                <w:wBefore w:w="4" w:type="dxa"/>
              </w:trPr>
              <w:tc>
                <w:tcPr>
                  <w:tcW w:w="4998" w:type="pct"/>
                  <w:gridSpan w:val="1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44"/>
                      <w:szCs w:val="44"/>
                      <w:u w:val="none"/>
                    </w:rPr>
                  </w:pPr>
                  <w:r>
                    <w:rPr>
                      <w:rFonts w:ascii="宋体" w:eastAsia="宋体" w:cs="宋体" w:hint="eastAsia"/>
                      <w:i w:val="0"/>
                      <w:iCs w:val="0"/>
                      <w:color w:val="000000"/>
                      <w:kern w:val="0"/>
                      <w:sz w:val="44"/>
                      <w:szCs w:val="44"/>
                      <w:u w:val="none"/>
                      <w:lang w:val="en-US" w:eastAsia="zh-CN"/>
                    </w:rPr>
                    <w:t>收入支出决算总表</w:t>
                  </w:r>
                </w:p>
              </w:tc>
            </w:tr>
            <w:tr>
              <w:trPr>
                <w:trHeight w:val="264"/>
                <w:gridBefore w:val="1"/>
                <w:wBefore w:w="4" w:type="dxa"/>
              </w:trPr>
              <w:tc>
                <w:tcPr>
                  <w:tcW w:w="2286" w:type="pct"/>
                  <w:gridSpan w:val="4"/>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279"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732" w:type="pct"/>
                  <w:gridSpan w:val="2"/>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766" w:type="pct"/>
                  <w:gridSpan w:val="2"/>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933" w:type="pct"/>
                  <w:gridSpan w:val="3"/>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公开01表</w:t>
                  </w:r>
                </w:p>
              </w:tc>
            </w:tr>
            <w:tr>
              <w:trPr>
                <w:trHeight w:val="524"/>
                <w:gridBefore w:val="1"/>
                <w:wBefore w:w="4" w:type="dxa"/>
              </w:trPr>
              <w:tc>
                <w:tcPr>
                  <w:tcW w:w="2033" w:type="pct"/>
                  <w:gridSpan w:val="2"/>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w:t>
                  </w:r>
                  <w:r>
                    <w:rPr>
                      <w:rFonts w:ascii="宋体" w:cs="宋体" w:hint="eastAsia"/>
                      <w:i w:val="0"/>
                      <w:iCs w:val="0"/>
                      <w:color w:val="000000"/>
                      <w:kern w:val="0"/>
                      <w:sz w:val="24"/>
                      <w:szCs w:val="24"/>
                      <w:u w:val="none"/>
                      <w:lang w:val="en-US" w:eastAsia="zh-CN"/>
                    </w:rPr>
                    <w:t>部门：</w:t>
                  </w:r>
                  <w:r>
                    <w:rPr>
                      <w:rFonts w:ascii="宋体" w:eastAsia="宋体" w:cs="宋体" w:hint="eastAsia"/>
                      <w:i w:val="0"/>
                      <w:iCs w:val="0"/>
                      <w:color w:val="000000"/>
                      <w:kern w:val="0"/>
                      <w:sz w:val="24"/>
                      <w:szCs w:val="24"/>
                      <w:u w:val="none"/>
                      <w:lang w:val="en-US" w:eastAsia="zh-CN"/>
                    </w:rPr>
                    <w:t>中华人民共和国额布都格海</w:t>
                  </w:r>
                  <w:r>
                    <w:rPr>
                      <w:rFonts w:ascii="宋体" w:cs="宋体" w:hint="eastAsia"/>
                      <w:i w:val="0"/>
                      <w:iCs w:val="0"/>
                      <w:color w:val="000000"/>
                      <w:kern w:val="0"/>
                      <w:sz w:val="24"/>
                      <w:szCs w:val="24"/>
                      <w:u w:val="none"/>
                      <w:lang w:val="en-US" w:eastAsia="zh-CN"/>
                    </w:rPr>
                    <w:t>关</w:t>
                  </w:r>
                </w:p>
              </w:tc>
              <w:tc>
                <w:tcPr>
                  <w:tcW w:w="253" w:type="pct"/>
                  <w:gridSpan w:val="2"/>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279"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732" w:type="pct"/>
                  <w:gridSpan w:val="2"/>
                  <w:tcBorders>
                    <w:top w:val="nil"/>
                    <w:left w:val="nil"/>
                    <w:bottom w:val="nil"/>
                    <w:right w:val="nil"/>
                  </w:tcBorders>
                  <w:shd w:val="clear" w:color="auto" w:fill="auto"/>
                  <w:noWrap/>
                  <w:vAlign w:val="center"/>
                </w:tcPr>
                <w:p>
                  <w:pPr>
                    <w:jc w:val="center"/>
                    <w:rPr>
                      <w:rFonts w:ascii="宋体" w:eastAsia="宋体" w:cs="宋体" w:hint="eastAsia"/>
                      <w:i w:val="0"/>
                      <w:iCs w:val="0"/>
                      <w:color w:val="000000"/>
                      <w:sz w:val="24"/>
                      <w:szCs w:val="24"/>
                      <w:u w:val="none"/>
                    </w:rPr>
                  </w:pPr>
                </w:p>
              </w:tc>
              <w:tc>
                <w:tcPr>
                  <w:tcW w:w="766" w:type="pct"/>
                  <w:gridSpan w:val="2"/>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933" w:type="pct"/>
                  <w:gridSpan w:val="3"/>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单位：万元</w:t>
                  </w:r>
                </w:p>
              </w:tc>
            </w:tr>
            <w:tr>
              <w:trPr>
                <w:trHeight w:val="260"/>
              </w:trPr>
              <w:tc>
                <w:tcPr>
                  <w:tcW w:w="2624" w:type="pct"/>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收入</w:t>
                  </w:r>
                </w:p>
              </w:tc>
              <w:tc>
                <w:tcPr>
                  <w:tcW w:w="2375" w:type="pct"/>
                  <w:gridSpan w:val="6"/>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支出</w:t>
                  </w:r>
                </w:p>
              </w:tc>
            </w:tr>
            <w:tr>
              <w:trPr>
                <w:trHeight w:val="260"/>
              </w:trPr>
              <w:tc>
                <w:tcPr>
                  <w:tcW w:w="2033" w:type="pct"/>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行次</w:t>
                  </w:r>
                </w:p>
              </w:tc>
              <w:tc>
                <w:tcPr>
                  <w:tcW w:w="338" w:type="pct"/>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决算数</w:t>
                  </w:r>
                </w:p>
              </w:tc>
              <w:tc>
                <w:tcPr>
                  <w:tcW w:w="1356"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行次</w:t>
                  </w:r>
                </w:p>
              </w:tc>
              <w:tc>
                <w:tcPr>
                  <w:tcW w:w="765"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决算数</w:t>
                  </w:r>
                </w:p>
              </w:tc>
            </w:tr>
            <w:tr>
              <w:trPr>
                <w:trHeight w:val="260"/>
              </w:trPr>
              <w:tc>
                <w:tcPr>
                  <w:tcW w:w="2033" w:type="pct"/>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栏次</w:t>
                  </w:r>
                </w:p>
              </w:tc>
              <w:tc>
                <w:tcPr>
                  <w:tcW w:w="253" w:type="pct"/>
                  <w:gridSpan w:val="2"/>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2"/>
                      <w:szCs w:val="22"/>
                      <w:u w:val="none"/>
                    </w:rPr>
                  </w:pPr>
                </w:p>
              </w:tc>
              <w:tc>
                <w:tcPr>
                  <w:tcW w:w="338" w:type="pct"/>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w:t>
                  </w:r>
                </w:p>
              </w:tc>
              <w:tc>
                <w:tcPr>
                  <w:tcW w:w="1356"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栏次</w:t>
                  </w:r>
                </w:p>
              </w:tc>
              <w:tc>
                <w:tcPr>
                  <w:tcW w:w="253" w:type="pct"/>
                  <w:gridSpan w:val="2"/>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2"/>
                      <w:szCs w:val="22"/>
                      <w:u w:val="none"/>
                    </w:rPr>
                  </w:pPr>
                </w:p>
              </w:tc>
              <w:tc>
                <w:tcPr>
                  <w:tcW w:w="765"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w:t>
                  </w:r>
                </w:p>
              </w:tc>
            </w:tr>
            <w:tr>
              <w:trPr>
                <w:trHeight w:val="260"/>
              </w:trPr>
              <w:tc>
                <w:tcPr>
                  <w:tcW w:w="2033" w:type="pct"/>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一、一般公共预算财政拨款收入</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w:t>
                  </w:r>
                </w:p>
              </w:tc>
              <w:tc>
                <w:tcPr>
                  <w:tcW w:w="338" w:type="pct"/>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849.78</w:t>
                  </w:r>
                </w:p>
              </w:tc>
              <w:tc>
                <w:tcPr>
                  <w:tcW w:w="1356"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一、一般公共服务支出</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31</w:t>
                  </w:r>
                </w:p>
              </w:tc>
              <w:tc>
                <w:tcPr>
                  <w:tcW w:w="765"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661.45</w:t>
                  </w:r>
                </w:p>
              </w:tc>
            </w:tr>
            <w:tr>
              <w:trPr>
                <w:trHeight w:val="260"/>
              </w:trPr>
              <w:tc>
                <w:tcPr>
                  <w:tcW w:w="2033" w:type="pct"/>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二、政府性基金预算财政拨款收入</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w:t>
                  </w:r>
                </w:p>
              </w:tc>
              <w:tc>
                <w:tcPr>
                  <w:tcW w:w="338" w:type="pct"/>
                  <w:gridSpan w:val="3"/>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56"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二、外交支出 </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32</w:t>
                  </w:r>
                </w:p>
              </w:tc>
              <w:tc>
                <w:tcPr>
                  <w:tcW w:w="765" w:type="pct"/>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60"/>
              </w:trPr>
              <w:tc>
                <w:tcPr>
                  <w:tcW w:w="2033" w:type="pct"/>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三、国有资本经营预算财政拨款收入</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w:t>
                  </w:r>
                </w:p>
              </w:tc>
              <w:tc>
                <w:tcPr>
                  <w:tcW w:w="338" w:type="pct"/>
                  <w:gridSpan w:val="3"/>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56"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三、国防支出</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33</w:t>
                  </w:r>
                </w:p>
              </w:tc>
              <w:tc>
                <w:tcPr>
                  <w:tcW w:w="765" w:type="pct"/>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60"/>
              </w:trPr>
              <w:tc>
                <w:tcPr>
                  <w:tcW w:w="2033" w:type="pct"/>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四、上级补助收入</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w:t>
                  </w:r>
                </w:p>
              </w:tc>
              <w:tc>
                <w:tcPr>
                  <w:tcW w:w="338" w:type="pct"/>
                  <w:gridSpan w:val="3"/>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56"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四、公共安全支出</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34</w:t>
                  </w:r>
                </w:p>
              </w:tc>
              <w:tc>
                <w:tcPr>
                  <w:tcW w:w="765" w:type="pct"/>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60"/>
              </w:trPr>
              <w:tc>
                <w:tcPr>
                  <w:tcW w:w="2033" w:type="pct"/>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五、事业收入</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c>
                <w:tcPr>
                  <w:tcW w:w="338" w:type="pct"/>
                  <w:gridSpan w:val="3"/>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56"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五、教育支出</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35</w:t>
                  </w:r>
                </w:p>
              </w:tc>
              <w:tc>
                <w:tcPr>
                  <w:tcW w:w="765" w:type="pct"/>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60"/>
              </w:trPr>
              <w:tc>
                <w:tcPr>
                  <w:tcW w:w="2033" w:type="pct"/>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六、经营收入</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w:t>
                  </w:r>
                </w:p>
              </w:tc>
              <w:tc>
                <w:tcPr>
                  <w:tcW w:w="338" w:type="pct"/>
                  <w:gridSpan w:val="3"/>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56"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六、科学技术支出</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36</w:t>
                  </w:r>
                </w:p>
              </w:tc>
              <w:tc>
                <w:tcPr>
                  <w:tcW w:w="765" w:type="pct"/>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2033" w:type="pct"/>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七、附属单位上缴收入</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7</w:t>
                  </w:r>
                </w:p>
              </w:tc>
              <w:tc>
                <w:tcPr>
                  <w:tcW w:w="338" w:type="pct"/>
                  <w:gridSpan w:val="3"/>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56"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七、文化旅游体育与传媒支出</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37</w:t>
                  </w:r>
                </w:p>
              </w:tc>
              <w:tc>
                <w:tcPr>
                  <w:tcW w:w="765" w:type="pct"/>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60"/>
              </w:trPr>
              <w:tc>
                <w:tcPr>
                  <w:tcW w:w="2033" w:type="pct"/>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八、其他收入</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w:t>
                  </w:r>
                </w:p>
              </w:tc>
              <w:tc>
                <w:tcPr>
                  <w:tcW w:w="338" w:type="pct"/>
                  <w:gridSpan w:val="3"/>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56"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八、社会保障和就业支出</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38</w:t>
                  </w:r>
                </w:p>
              </w:tc>
              <w:tc>
                <w:tcPr>
                  <w:tcW w:w="765"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59.68</w:t>
                  </w:r>
                </w:p>
              </w:tc>
            </w:tr>
            <w:tr>
              <w:trPr>
                <w:trHeight w:val="260"/>
              </w:trPr>
              <w:tc>
                <w:tcPr>
                  <w:tcW w:w="2033" w:type="pct"/>
                  <w:gridSpan w:val="2"/>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2"/>
                      <w:szCs w:val="22"/>
                      <w:u w:val="none"/>
                    </w:rPr>
                  </w:pP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w:t>
                  </w:r>
                </w:p>
              </w:tc>
              <w:tc>
                <w:tcPr>
                  <w:tcW w:w="338" w:type="pct"/>
                  <w:gridSpan w:val="3"/>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c>
                <w:tcPr>
                  <w:tcW w:w="1356"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九、卫生健康支出</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39</w:t>
                  </w:r>
                </w:p>
              </w:tc>
              <w:tc>
                <w:tcPr>
                  <w:tcW w:w="765"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33.87</w:t>
                  </w:r>
                </w:p>
              </w:tc>
            </w:tr>
            <w:tr>
              <w:trPr>
                <w:trHeight w:val="280"/>
              </w:trPr>
              <w:tc>
                <w:tcPr>
                  <w:tcW w:w="2033" w:type="pct"/>
                  <w:gridSpan w:val="2"/>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10</w:t>
                  </w:r>
                </w:p>
              </w:tc>
              <w:tc>
                <w:tcPr>
                  <w:tcW w:w="338" w:type="pct"/>
                  <w:gridSpan w:val="3"/>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1356"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十、节能环保支出</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40</w:t>
                  </w:r>
                </w:p>
              </w:tc>
              <w:tc>
                <w:tcPr>
                  <w:tcW w:w="765" w:type="pct"/>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280"/>
              </w:trPr>
              <w:tc>
                <w:tcPr>
                  <w:tcW w:w="2033" w:type="pct"/>
                  <w:gridSpan w:val="2"/>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w:t>
                  </w:r>
                </w:p>
              </w:tc>
              <w:tc>
                <w:tcPr>
                  <w:tcW w:w="338" w:type="pct"/>
                  <w:gridSpan w:val="3"/>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1356"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十一、城乡社区支出</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41</w:t>
                  </w:r>
                </w:p>
              </w:tc>
              <w:tc>
                <w:tcPr>
                  <w:tcW w:w="765" w:type="pct"/>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280"/>
              </w:trPr>
              <w:tc>
                <w:tcPr>
                  <w:tcW w:w="2033" w:type="pct"/>
                  <w:gridSpan w:val="2"/>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12</w:t>
                  </w:r>
                </w:p>
              </w:tc>
              <w:tc>
                <w:tcPr>
                  <w:tcW w:w="338" w:type="pct"/>
                  <w:gridSpan w:val="3"/>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1356"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十二、农林水支出</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42</w:t>
                  </w:r>
                </w:p>
              </w:tc>
              <w:tc>
                <w:tcPr>
                  <w:tcW w:w="765" w:type="pct"/>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280"/>
              </w:trPr>
              <w:tc>
                <w:tcPr>
                  <w:tcW w:w="2033" w:type="pct"/>
                  <w:gridSpan w:val="2"/>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13</w:t>
                  </w:r>
                </w:p>
              </w:tc>
              <w:tc>
                <w:tcPr>
                  <w:tcW w:w="338" w:type="pct"/>
                  <w:gridSpan w:val="3"/>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1356"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十三、交通运输支出</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43</w:t>
                  </w:r>
                </w:p>
              </w:tc>
              <w:tc>
                <w:tcPr>
                  <w:tcW w:w="765" w:type="pct"/>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497"/>
              </w:trPr>
              <w:tc>
                <w:tcPr>
                  <w:tcW w:w="2033" w:type="pct"/>
                  <w:gridSpan w:val="2"/>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14</w:t>
                  </w:r>
                </w:p>
              </w:tc>
              <w:tc>
                <w:tcPr>
                  <w:tcW w:w="338" w:type="pct"/>
                  <w:gridSpan w:val="3"/>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1356"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十四、资源勘探工业信息等支出</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44</w:t>
                  </w:r>
                </w:p>
              </w:tc>
              <w:tc>
                <w:tcPr>
                  <w:tcW w:w="765" w:type="pct"/>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280"/>
                <w:gridAfter w:val="1"/>
                <w:wAfter w:w="8" w:type="dxa"/>
              </w:trPr>
              <w:tc>
                <w:tcPr>
                  <w:tcW w:w="2033" w:type="pct"/>
                  <w:gridSpan w:val="2"/>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15</w:t>
                  </w:r>
                </w:p>
              </w:tc>
              <w:tc>
                <w:tcPr>
                  <w:tcW w:w="338" w:type="pct"/>
                  <w:gridSpan w:val="3"/>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1356"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十五、商业服务业等支出</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45</w:t>
                  </w:r>
                </w:p>
              </w:tc>
              <w:tc>
                <w:tcPr>
                  <w:tcW w:w="76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280"/>
                <w:gridAfter w:val="1"/>
                <w:wAfter w:w="8" w:type="dxa"/>
              </w:trPr>
              <w:tc>
                <w:tcPr>
                  <w:tcW w:w="2033" w:type="pct"/>
                  <w:gridSpan w:val="2"/>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16</w:t>
                  </w:r>
                </w:p>
              </w:tc>
              <w:tc>
                <w:tcPr>
                  <w:tcW w:w="338" w:type="pct"/>
                  <w:gridSpan w:val="3"/>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1356"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十六、金融支出</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46</w:t>
                  </w:r>
                </w:p>
              </w:tc>
              <w:tc>
                <w:tcPr>
                  <w:tcW w:w="76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280"/>
                <w:gridAfter w:val="1"/>
                <w:wAfter w:w="8" w:type="dxa"/>
              </w:trPr>
              <w:tc>
                <w:tcPr>
                  <w:tcW w:w="2033" w:type="pct"/>
                  <w:gridSpan w:val="2"/>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17</w:t>
                  </w:r>
                </w:p>
              </w:tc>
              <w:tc>
                <w:tcPr>
                  <w:tcW w:w="338" w:type="pct"/>
                  <w:gridSpan w:val="3"/>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1356"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十七、援助其他地区支出</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47</w:t>
                  </w:r>
                </w:p>
              </w:tc>
              <w:tc>
                <w:tcPr>
                  <w:tcW w:w="76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497"/>
                <w:gridAfter w:val="1"/>
                <w:wAfter w:w="8" w:type="dxa"/>
              </w:trPr>
              <w:tc>
                <w:tcPr>
                  <w:tcW w:w="2033" w:type="pct"/>
                  <w:gridSpan w:val="2"/>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18</w:t>
                  </w:r>
                </w:p>
              </w:tc>
              <w:tc>
                <w:tcPr>
                  <w:tcW w:w="338" w:type="pct"/>
                  <w:gridSpan w:val="3"/>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1356"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十八、自然资源海洋气象等支出</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48</w:t>
                  </w:r>
                </w:p>
              </w:tc>
              <w:tc>
                <w:tcPr>
                  <w:tcW w:w="76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280"/>
                <w:gridAfter w:val="1"/>
                <w:wAfter w:w="8" w:type="dxa"/>
              </w:trPr>
              <w:tc>
                <w:tcPr>
                  <w:tcW w:w="2033" w:type="pct"/>
                  <w:gridSpan w:val="2"/>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19</w:t>
                  </w:r>
                </w:p>
              </w:tc>
              <w:tc>
                <w:tcPr>
                  <w:tcW w:w="338" w:type="pct"/>
                  <w:gridSpan w:val="3"/>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1356"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十九、住房保障支出</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49</w:t>
                  </w:r>
                </w:p>
              </w:tc>
              <w:tc>
                <w:tcPr>
                  <w:tcW w:w="762"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78.15</w:t>
                  </w:r>
                </w:p>
              </w:tc>
            </w:tr>
            <w:tr>
              <w:trPr>
                <w:trHeight w:val="280"/>
                <w:gridAfter w:val="1"/>
                <w:wAfter w:w="8" w:type="dxa"/>
              </w:trPr>
              <w:tc>
                <w:tcPr>
                  <w:tcW w:w="2033" w:type="pct"/>
                  <w:gridSpan w:val="2"/>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w:t>
                  </w:r>
                </w:p>
              </w:tc>
              <w:tc>
                <w:tcPr>
                  <w:tcW w:w="338" w:type="pct"/>
                  <w:gridSpan w:val="3"/>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1356"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二十、粮油物资储备支出</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50</w:t>
                  </w:r>
                </w:p>
              </w:tc>
              <w:tc>
                <w:tcPr>
                  <w:tcW w:w="76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497"/>
                <w:gridAfter w:val="1"/>
                <w:wAfter w:w="8" w:type="dxa"/>
              </w:trPr>
              <w:tc>
                <w:tcPr>
                  <w:tcW w:w="2033" w:type="pct"/>
                  <w:gridSpan w:val="2"/>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21</w:t>
                  </w:r>
                </w:p>
              </w:tc>
              <w:tc>
                <w:tcPr>
                  <w:tcW w:w="338" w:type="pct"/>
                  <w:gridSpan w:val="3"/>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1356"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二十一、国有资本经营预算支出</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51</w:t>
                  </w:r>
                </w:p>
              </w:tc>
              <w:tc>
                <w:tcPr>
                  <w:tcW w:w="76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497"/>
                <w:gridAfter w:val="1"/>
                <w:wAfter w:w="8" w:type="dxa"/>
              </w:trPr>
              <w:tc>
                <w:tcPr>
                  <w:tcW w:w="2033" w:type="pct"/>
                  <w:gridSpan w:val="2"/>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22</w:t>
                  </w:r>
                </w:p>
              </w:tc>
              <w:tc>
                <w:tcPr>
                  <w:tcW w:w="338" w:type="pct"/>
                  <w:gridSpan w:val="3"/>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1356"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二十二、灾害防治及应急管理支出</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52</w:t>
                  </w:r>
                </w:p>
              </w:tc>
              <w:tc>
                <w:tcPr>
                  <w:tcW w:w="76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280"/>
                <w:gridAfter w:val="1"/>
                <w:wAfter w:w="8" w:type="dxa"/>
              </w:trPr>
              <w:tc>
                <w:tcPr>
                  <w:tcW w:w="2033" w:type="pct"/>
                  <w:gridSpan w:val="2"/>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23</w:t>
                  </w:r>
                </w:p>
              </w:tc>
              <w:tc>
                <w:tcPr>
                  <w:tcW w:w="338" w:type="pct"/>
                  <w:gridSpan w:val="3"/>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1356"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二十三、其他支出</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53</w:t>
                  </w:r>
                </w:p>
              </w:tc>
              <w:tc>
                <w:tcPr>
                  <w:tcW w:w="76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289"/>
                <w:gridAfter w:val="1"/>
                <w:wAfter w:w="8" w:type="dxa"/>
              </w:trPr>
              <w:tc>
                <w:tcPr>
                  <w:tcW w:w="2033" w:type="pct"/>
                  <w:gridSpan w:val="2"/>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24</w:t>
                  </w:r>
                </w:p>
              </w:tc>
              <w:tc>
                <w:tcPr>
                  <w:tcW w:w="338" w:type="pct"/>
                  <w:gridSpan w:val="3"/>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1356"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二十四、债务还本支出</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54</w:t>
                  </w:r>
                </w:p>
              </w:tc>
              <w:tc>
                <w:tcPr>
                  <w:tcW w:w="76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280"/>
                <w:gridAfter w:val="1"/>
                <w:wAfter w:w="8" w:type="dxa"/>
              </w:trPr>
              <w:tc>
                <w:tcPr>
                  <w:tcW w:w="2033" w:type="pct"/>
                  <w:gridSpan w:val="2"/>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25</w:t>
                  </w:r>
                </w:p>
              </w:tc>
              <w:tc>
                <w:tcPr>
                  <w:tcW w:w="338" w:type="pct"/>
                  <w:gridSpan w:val="3"/>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1356"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二十五、债务付息支出</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55</w:t>
                  </w:r>
                </w:p>
              </w:tc>
              <w:tc>
                <w:tcPr>
                  <w:tcW w:w="76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497"/>
                <w:gridAfter w:val="1"/>
                <w:wAfter w:w="8" w:type="dxa"/>
              </w:trPr>
              <w:tc>
                <w:tcPr>
                  <w:tcW w:w="2033" w:type="pct"/>
                  <w:gridSpan w:val="2"/>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26</w:t>
                  </w:r>
                </w:p>
              </w:tc>
              <w:tc>
                <w:tcPr>
                  <w:tcW w:w="338" w:type="pct"/>
                  <w:gridSpan w:val="3"/>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1356"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二十六、抗疫特别国债安排的支出</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56</w:t>
                  </w:r>
                </w:p>
              </w:tc>
              <w:tc>
                <w:tcPr>
                  <w:tcW w:w="76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428"/>
                <w:gridAfter w:val="1"/>
                <w:wAfter w:w="8" w:type="dxa"/>
              </w:trPr>
              <w:tc>
                <w:tcPr>
                  <w:tcW w:w="2033" w:type="pct"/>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本年收入合计</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27</w:t>
                  </w:r>
                </w:p>
              </w:tc>
              <w:tc>
                <w:tcPr>
                  <w:tcW w:w="338" w:type="pct"/>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849.78</w:t>
                  </w:r>
                </w:p>
              </w:tc>
              <w:tc>
                <w:tcPr>
                  <w:tcW w:w="1356"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本年支出合计</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57</w:t>
                  </w:r>
                </w:p>
              </w:tc>
              <w:tc>
                <w:tcPr>
                  <w:tcW w:w="762"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833.15</w:t>
                  </w:r>
                </w:p>
              </w:tc>
            </w:tr>
            <w:tr>
              <w:trPr>
                <w:trHeight w:val="497"/>
                <w:gridAfter w:val="1"/>
                <w:wAfter w:w="8" w:type="dxa"/>
              </w:trPr>
              <w:tc>
                <w:tcPr>
                  <w:tcW w:w="2033" w:type="pct"/>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使用非财政拨款结余（含专用结余）</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28</w:t>
                  </w:r>
                </w:p>
              </w:tc>
              <w:tc>
                <w:tcPr>
                  <w:tcW w:w="338" w:type="pct"/>
                  <w:gridSpan w:val="3"/>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56"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结余分配</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58</w:t>
                  </w:r>
                </w:p>
              </w:tc>
              <w:tc>
                <w:tcPr>
                  <w:tcW w:w="762" w:type="pct"/>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49"/>
                <w:gridAfter w:val="1"/>
                <w:wAfter w:w="8" w:type="dxa"/>
              </w:trPr>
              <w:tc>
                <w:tcPr>
                  <w:tcW w:w="2033" w:type="pct"/>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年初结转和结余 </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29</w:t>
                  </w:r>
                </w:p>
              </w:tc>
              <w:tc>
                <w:tcPr>
                  <w:tcW w:w="338" w:type="pct"/>
                  <w:gridSpan w:val="3"/>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56"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年末结转和结余 </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59</w:t>
                  </w:r>
                </w:p>
              </w:tc>
              <w:tc>
                <w:tcPr>
                  <w:tcW w:w="762"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16.63</w:t>
                  </w:r>
                </w:p>
              </w:tc>
            </w:tr>
            <w:tr>
              <w:trPr>
                <w:trHeight w:val="358"/>
                <w:gridAfter w:val="1"/>
                <w:wAfter w:w="8" w:type="dxa"/>
              </w:trPr>
              <w:tc>
                <w:tcPr>
                  <w:tcW w:w="2033" w:type="pct"/>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总计</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c>
                <w:tcPr>
                  <w:tcW w:w="338" w:type="pct"/>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849.78</w:t>
                  </w:r>
                </w:p>
              </w:tc>
              <w:tc>
                <w:tcPr>
                  <w:tcW w:w="1356"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总计</w:t>
                  </w:r>
                </w:p>
              </w:tc>
              <w:tc>
                <w:tcPr>
                  <w:tcW w:w="253" w:type="pct"/>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60</w:t>
                  </w:r>
                </w:p>
              </w:tc>
              <w:tc>
                <w:tcPr>
                  <w:tcW w:w="762" w:type="pc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849.78</w:t>
                  </w:r>
                </w:p>
              </w:tc>
            </w:tr>
            <w:tr>
              <w:trPr>
                <w:trHeight w:val="809"/>
                <w:gridBefore w:val="1"/>
                <w:wBefore w:w="4" w:type="dxa"/>
                <w:gridAfter w:val="1"/>
                <w:wAfter w:w="8" w:type="dxa"/>
              </w:trPr>
              <w:tc>
                <w:tcPr>
                  <w:tcW w:w="4995" w:type="pct"/>
                  <w:gridSpan w:val="11"/>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注：1.本表反映部门本年度的总收支和年末结转结余情况。</w:t>
                  </w:r>
                </w:p>
              </w:tc>
            </w:tr>
            <w:tr>
              <w:trPr>
                <w:trHeight w:val="846"/>
                <w:gridBefore w:val="1"/>
                <w:wBefore w:w="4" w:type="dxa"/>
                <w:gridAfter w:val="1"/>
                <w:wAfter w:w="8" w:type="dxa"/>
              </w:trPr>
              <w:tc>
                <w:tcPr>
                  <w:tcW w:w="4995" w:type="pct"/>
                  <w:gridSpan w:val="11"/>
                  <w:tcBorders>
                    <w:top w:val="nil"/>
                    <w:left w:val="nil"/>
                    <w:bottom w:val="nil"/>
                    <w:right w:val="nil"/>
                  </w:tcBorders>
                  <w:shd w:val="clear" w:color="auto" w:fill="auto"/>
                  <w:noWrap/>
                  <w:vAlign w:val="center"/>
                </w:tcPr>
                <w:p>
                  <w:pPr>
                    <w:keepNext w:val="0"/>
                    <w:keepLines w:val="0"/>
                    <w:widowControl/>
                    <w:suppressLineNumbers w:val="0"/>
                    <w:ind w:firstLineChars="200" w:firstLine="48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2.本套报表金额单位转换时可能存在尾数误差。</w:t>
                  </w:r>
                </w:p>
              </w:tc>
            </w:tr>
          </w:tbl>
          <w:p>
            <w:pPr>
              <w:widowControl/>
              <w:spacing w:line="560" w:lineRule="exact"/>
              <w:jc w:val="center"/>
              <w:textAlignment w:val="center"/>
              <w:rPr>
                <w:rFonts w:ascii="??" w:hAnsi="??"/>
                <w:sz w:val="32"/>
                <w:szCs w:val="32"/>
              </w:rPr>
            </w:pPr>
          </w:p>
        </w:tc>
      </w:tr>
      <w:tr>
        <w:trPr>
          <w:trHeight w:val="540"/>
          <w:gridAfter w:val="1"/>
          <w:wAfter w:w="1303" w:type="dxa"/>
        </w:trPr>
        <w:tc>
          <w:tcPr>
            <w:tcW w:w="4552" w:type="pct"/>
            <w:gridSpan w:val="10"/>
            <w:tcBorders>
              <w:top w:val="nil"/>
              <w:left w:val="nil"/>
              <w:bottom w:val="nil"/>
              <w:right w:val="nil"/>
            </w:tcBorders>
            <w:noWrap/>
            <w:vAlign w:val="center"/>
          </w:tcPr>
          <w:p>
            <w:pPr>
              <w:keepNext w:val="0"/>
              <w:keepLines w:val="0"/>
              <w:widowControl/>
              <w:suppressLineNumbers w:val="0"/>
              <w:jc w:val="center"/>
              <w:textAlignment w:val="center"/>
              <w:rPr>
                <w:rFonts w:ascii="宋体" w:eastAsia="宋体" w:cs="宋体" w:hint="eastAsia"/>
                <w:i w:val="0"/>
                <w:iCs w:val="0"/>
                <w:color w:val="000000"/>
                <w:kern w:val="0"/>
                <w:sz w:val="44"/>
                <w:szCs w:val="44"/>
                <w:u w:val="none"/>
                <w:lang w:val="en-US" w:eastAsia="zh-CN"/>
              </w:rPr>
            </w:pPr>
          </w:p>
          <w:p>
            <w:pPr>
              <w:keepNext w:val="0"/>
              <w:keepLines w:val="0"/>
              <w:widowControl/>
              <w:suppressLineNumbers w:val="0"/>
              <w:jc w:val="center"/>
              <w:textAlignment w:val="center"/>
              <w:rPr>
                <w:rFonts w:ascii="宋体" w:eastAsia="宋体" w:cs="宋体" w:hint="eastAsia"/>
                <w:i w:val="0"/>
                <w:iCs w:val="0"/>
                <w:color w:val="000000"/>
                <w:kern w:val="2"/>
                <w:sz w:val="44"/>
                <w:szCs w:val="44"/>
                <w:u w:val="none"/>
                <w:lang w:val="en-US" w:eastAsia="zh-CN" w:bidi="ar-SA"/>
              </w:rPr>
            </w:pPr>
            <w:r>
              <w:rPr>
                <w:rFonts w:ascii="宋体" w:eastAsia="宋体" w:cs="宋体" w:hint="eastAsia"/>
                <w:i w:val="0"/>
                <w:iCs w:val="0"/>
                <w:color w:val="000000"/>
                <w:kern w:val="0"/>
                <w:sz w:val="44"/>
                <w:szCs w:val="44"/>
                <w:u w:val="none"/>
                <w:lang w:val="en-US" w:eastAsia="zh-CN"/>
              </w:rPr>
              <w:t>收入决算表</w:t>
            </w:r>
          </w:p>
        </w:tc>
      </w:tr>
      <w:tr>
        <w:trPr>
          <w:trHeight w:val="285"/>
        </w:trPr>
        <w:tc>
          <w:tcPr>
            <w:tcW w:w="1254" w:type="pct"/>
            <w:gridSpan w:val="2"/>
            <w:tcBorders>
              <w:top w:val="nil"/>
              <w:left w:val="nil"/>
              <w:bottom w:val="nil"/>
              <w:right w:val="nil"/>
            </w:tcBorders>
            <w:noWrap/>
            <w:vAlign w:val="center"/>
          </w:tcPr>
          <w:p>
            <w:pPr>
              <w:rPr>
                <w:rFonts w:ascii="宋体" w:eastAsia="宋体" w:cs="宋体" w:hint="eastAsia"/>
                <w:i w:val="0"/>
                <w:iCs w:val="0"/>
                <w:color w:val="000000"/>
                <w:sz w:val="22"/>
                <w:szCs w:val="22"/>
                <w:u w:val="none"/>
              </w:rPr>
            </w:pPr>
          </w:p>
        </w:tc>
        <w:tc>
          <w:tcPr>
            <w:tcW w:w="171" w:type="pct"/>
            <w:tcBorders>
              <w:top w:val="nil"/>
              <w:left w:val="nil"/>
              <w:bottom w:val="nil"/>
              <w:right w:val="nil"/>
            </w:tcBorders>
            <w:noWrap/>
            <w:vAlign w:val="center"/>
          </w:tcPr>
          <w:p>
            <w:pPr>
              <w:rPr>
                <w:rFonts w:ascii="宋体" w:eastAsia="宋体" w:cs="宋体" w:hint="eastAsia"/>
                <w:i w:val="0"/>
                <w:iCs w:val="0"/>
                <w:color w:val="000000"/>
                <w:sz w:val="22"/>
                <w:szCs w:val="22"/>
                <w:u w:val="none"/>
              </w:rPr>
            </w:pPr>
          </w:p>
        </w:tc>
        <w:tc>
          <w:tcPr>
            <w:tcW w:w="87" w:type="pct"/>
            <w:tcBorders>
              <w:top w:val="nil"/>
              <w:left w:val="nil"/>
              <w:bottom w:val="nil"/>
              <w:right w:val="nil"/>
            </w:tcBorders>
            <w:noWrap/>
            <w:vAlign w:val="center"/>
          </w:tcPr>
          <w:p>
            <w:pPr>
              <w:rPr>
                <w:rFonts w:ascii="宋体" w:eastAsia="宋体" w:cs="宋体" w:hint="eastAsia"/>
                <w:i w:val="0"/>
                <w:iCs w:val="0"/>
                <w:color w:val="000000"/>
                <w:sz w:val="22"/>
                <w:szCs w:val="22"/>
                <w:u w:val="none"/>
              </w:rPr>
            </w:pPr>
          </w:p>
        </w:tc>
        <w:tc>
          <w:tcPr>
            <w:tcW w:w="470" w:type="pct"/>
            <w:tcBorders>
              <w:top w:val="nil"/>
              <w:left w:val="nil"/>
              <w:bottom w:val="nil"/>
              <w:right w:val="nil"/>
            </w:tcBorders>
            <w:noWrap/>
            <w:vAlign w:val="center"/>
          </w:tcPr>
          <w:p>
            <w:pPr>
              <w:rPr>
                <w:rFonts w:ascii="宋体" w:eastAsia="宋体" w:cs="宋体" w:hint="eastAsia"/>
                <w:i w:val="0"/>
                <w:iCs w:val="0"/>
                <w:color w:val="000000"/>
                <w:sz w:val="22"/>
                <w:szCs w:val="22"/>
                <w:u w:val="none"/>
              </w:rPr>
            </w:pPr>
          </w:p>
        </w:tc>
        <w:tc>
          <w:tcPr>
            <w:tcW w:w="469" w:type="pct"/>
            <w:tcBorders>
              <w:top w:val="nil"/>
              <w:left w:val="nil"/>
              <w:bottom w:val="nil"/>
              <w:right w:val="nil"/>
            </w:tcBorders>
            <w:noWrap/>
            <w:vAlign w:val="center"/>
          </w:tcPr>
          <w:p>
            <w:pPr>
              <w:rPr>
                <w:rFonts w:ascii="宋体" w:eastAsia="宋体" w:cs="宋体" w:hint="eastAsia"/>
                <w:i w:val="0"/>
                <w:iCs w:val="0"/>
                <w:color w:val="000000"/>
                <w:sz w:val="22"/>
                <w:szCs w:val="22"/>
                <w:u w:val="none"/>
              </w:rPr>
            </w:pPr>
          </w:p>
        </w:tc>
        <w:tc>
          <w:tcPr>
            <w:tcW w:w="469" w:type="pct"/>
            <w:tcBorders>
              <w:top w:val="nil"/>
              <w:left w:val="nil"/>
              <w:bottom w:val="nil"/>
              <w:right w:val="nil"/>
            </w:tcBorders>
            <w:noWrap/>
            <w:vAlign w:val="center"/>
          </w:tcPr>
          <w:p>
            <w:pPr>
              <w:rPr>
                <w:rFonts w:ascii="宋体" w:eastAsia="宋体" w:cs="宋体" w:hint="eastAsia"/>
                <w:i w:val="0"/>
                <w:iCs w:val="0"/>
                <w:color w:val="000000"/>
                <w:sz w:val="22"/>
                <w:szCs w:val="22"/>
                <w:u w:val="none"/>
              </w:rPr>
            </w:pPr>
          </w:p>
        </w:tc>
        <w:tc>
          <w:tcPr>
            <w:tcW w:w="337" w:type="pct"/>
            <w:tcBorders>
              <w:top w:val="nil"/>
              <w:left w:val="nil"/>
              <w:bottom w:val="nil"/>
              <w:right w:val="nil"/>
            </w:tcBorders>
            <w:noWrap/>
            <w:vAlign w:val="center"/>
          </w:tcPr>
          <w:p>
            <w:pPr>
              <w:rPr>
                <w:rFonts w:ascii="宋体" w:eastAsia="宋体" w:cs="宋体" w:hint="eastAsia"/>
                <w:i w:val="0"/>
                <w:iCs w:val="0"/>
                <w:color w:val="000000"/>
                <w:sz w:val="22"/>
                <w:szCs w:val="22"/>
                <w:u w:val="none"/>
              </w:rPr>
            </w:pPr>
          </w:p>
        </w:tc>
        <w:tc>
          <w:tcPr>
            <w:tcW w:w="1291" w:type="pct"/>
            <w:gridSpan w:val="2"/>
            <w:tcBorders>
              <w:top w:val="nil"/>
              <w:left w:val="nil"/>
              <w:bottom w:val="nil"/>
              <w:right w:val="nil"/>
            </w:tcBorders>
            <w:noWrap/>
            <w:vAlign w:val="center"/>
          </w:tcPr>
          <w:p>
            <w:pPr>
              <w:rPr>
                <w:rFonts w:ascii="宋体" w:eastAsia="宋体" w:cs="宋体" w:hint="eastAsia"/>
                <w:i w:val="0"/>
                <w:iCs w:val="0"/>
                <w:color w:val="000000"/>
                <w:sz w:val="22"/>
                <w:szCs w:val="22"/>
                <w:u w:val="none"/>
              </w:rPr>
            </w:pPr>
          </w:p>
        </w:tc>
        <w:tc>
          <w:tcPr>
            <w:tcW w:w="447" w:type="pct"/>
            <w:tcBorders>
              <w:top w:val="nil"/>
              <w:left w:val="nil"/>
              <w:bottom w:val="nil"/>
              <w:right w:val="nil"/>
            </w:tcBorders>
            <w:noWrap/>
            <w:vAlign w:val="center"/>
          </w:tcPr>
          <w:p>
            <w:pPr>
              <w:keepNext w:val="0"/>
              <w:keepLines w:val="0"/>
              <w:widowControl/>
              <w:suppressLineNumbers w:val="0"/>
              <w:jc w:val="both"/>
              <w:textAlignment w:val="center"/>
              <w:rPr>
                <w:rFonts w:ascii="宋体" w:eastAsia="宋体" w:cs="宋体" w:hint="eastAsia"/>
                <w:i w:val="0"/>
                <w:iCs w:val="0"/>
                <w:color w:val="000000"/>
                <w:kern w:val="2"/>
                <w:sz w:val="24"/>
                <w:szCs w:val="24"/>
                <w:u w:val="none"/>
                <w:lang w:val="en-US" w:eastAsia="zh-CN" w:bidi="ar-SA"/>
              </w:rPr>
            </w:pPr>
            <w:r>
              <w:rPr>
                <w:rFonts w:ascii="宋体" w:cs="宋体" w:hint="eastAsia"/>
                <w:i w:val="0"/>
                <w:iCs w:val="0"/>
                <w:color w:val="000000"/>
                <w:kern w:val="0"/>
                <w:sz w:val="24"/>
                <w:szCs w:val="24"/>
                <w:u w:val="none"/>
                <w:lang w:val="en-US" w:eastAsia="zh-CN"/>
              </w:rPr>
              <w:t>公开</w:t>
            </w:r>
            <w:r>
              <w:rPr>
                <w:rFonts w:ascii="宋体" w:eastAsia="宋体" w:cs="宋体" w:hint="eastAsia"/>
                <w:i w:val="0"/>
                <w:iCs w:val="0"/>
                <w:color w:val="000000"/>
                <w:kern w:val="0"/>
                <w:sz w:val="24"/>
                <w:szCs w:val="24"/>
                <w:u w:val="none"/>
                <w:lang w:val="en-US" w:eastAsia="zh-CN"/>
              </w:rPr>
              <w:t>02表</w:t>
            </w:r>
          </w:p>
        </w:tc>
      </w:tr>
      <w:tr>
        <w:trPr>
          <w:trHeight w:val="285"/>
        </w:trPr>
        <w:tc>
          <w:tcPr>
            <w:tcW w:w="1983" w:type="pct"/>
            <w:gridSpan w:val="5"/>
            <w:tcBorders>
              <w:top w:val="nil"/>
              <w:left w:val="nil"/>
              <w:bottom w:val="nil"/>
              <w:right w:val="nil"/>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4"/>
                <w:szCs w:val="24"/>
                <w:u w:val="none"/>
                <w:lang w:val="en-US" w:eastAsia="zh-CN" w:bidi="ar-SA"/>
              </w:rPr>
            </w:pPr>
            <w:r>
              <w:rPr>
                <w:rFonts w:ascii="宋体" w:eastAsia="宋体" w:cs="宋体" w:hint="eastAsia"/>
                <w:i w:val="0"/>
                <w:iCs w:val="0"/>
                <w:color w:val="000000"/>
                <w:kern w:val="0"/>
                <w:sz w:val="24"/>
                <w:szCs w:val="24"/>
                <w:u w:val="none"/>
                <w:lang w:val="en-US" w:eastAsia="zh-CN"/>
              </w:rPr>
              <w:t>部门：中华人民共和国额布都格海关</w:t>
            </w:r>
          </w:p>
        </w:tc>
        <w:tc>
          <w:tcPr>
            <w:tcW w:w="469" w:type="pct"/>
            <w:tcBorders>
              <w:top w:val="nil"/>
              <w:left w:val="nil"/>
              <w:bottom w:val="nil"/>
              <w:right w:val="nil"/>
            </w:tcBorders>
            <w:noWrap/>
            <w:vAlign w:val="center"/>
          </w:tcPr>
          <w:p>
            <w:pPr>
              <w:jc w:val="center"/>
              <w:rPr>
                <w:rFonts w:ascii="宋体" w:eastAsia="宋体" w:cs="宋体" w:hint="eastAsia"/>
                <w:i w:val="0"/>
                <w:iCs w:val="0"/>
                <w:color w:val="000000"/>
                <w:sz w:val="24"/>
                <w:szCs w:val="24"/>
                <w:u w:val="none"/>
              </w:rPr>
            </w:pPr>
          </w:p>
        </w:tc>
        <w:tc>
          <w:tcPr>
            <w:tcW w:w="469" w:type="pct"/>
            <w:tcBorders>
              <w:top w:val="nil"/>
              <w:left w:val="nil"/>
              <w:bottom w:val="nil"/>
              <w:right w:val="nil"/>
            </w:tcBorders>
            <w:noWrap/>
            <w:vAlign w:val="center"/>
          </w:tcPr>
          <w:p>
            <w:pPr>
              <w:rPr>
                <w:rFonts w:ascii="宋体" w:eastAsia="宋体" w:cs="宋体" w:hint="eastAsia"/>
                <w:i w:val="0"/>
                <w:iCs w:val="0"/>
                <w:color w:val="000000"/>
                <w:sz w:val="22"/>
                <w:szCs w:val="22"/>
                <w:u w:val="none"/>
              </w:rPr>
            </w:pPr>
          </w:p>
        </w:tc>
        <w:tc>
          <w:tcPr>
            <w:tcW w:w="337" w:type="pct"/>
            <w:tcBorders>
              <w:top w:val="nil"/>
              <w:left w:val="nil"/>
              <w:bottom w:val="nil"/>
              <w:right w:val="nil"/>
            </w:tcBorders>
            <w:noWrap/>
            <w:vAlign w:val="center"/>
          </w:tcPr>
          <w:p>
            <w:pPr>
              <w:rPr>
                <w:rFonts w:ascii="宋体" w:eastAsia="宋体" w:cs="宋体" w:hint="eastAsia"/>
                <w:i w:val="0"/>
                <w:iCs w:val="0"/>
                <w:color w:val="000000"/>
                <w:sz w:val="22"/>
                <w:szCs w:val="22"/>
                <w:u w:val="none"/>
              </w:rPr>
            </w:pPr>
          </w:p>
        </w:tc>
        <w:tc>
          <w:tcPr>
            <w:tcW w:w="1291" w:type="pct"/>
            <w:gridSpan w:val="2"/>
            <w:tcBorders>
              <w:top w:val="nil"/>
              <w:left w:val="nil"/>
              <w:bottom w:val="nil"/>
              <w:right w:val="nil"/>
            </w:tcBorders>
            <w:noWrap/>
            <w:vAlign w:val="center"/>
          </w:tcPr>
          <w:p>
            <w:pPr>
              <w:rPr>
                <w:rFonts w:ascii="宋体" w:eastAsia="宋体" w:cs="宋体" w:hint="eastAsia"/>
                <w:i w:val="0"/>
                <w:iCs w:val="0"/>
                <w:color w:val="000000"/>
                <w:sz w:val="22"/>
                <w:szCs w:val="22"/>
                <w:u w:val="none"/>
              </w:rPr>
            </w:pPr>
          </w:p>
        </w:tc>
        <w:tc>
          <w:tcPr>
            <w:tcW w:w="447" w:type="pct"/>
            <w:tcBorders>
              <w:top w:val="nil"/>
              <w:left w:val="nil"/>
              <w:bottom w:val="single" w:sz="4" w:space="0" w:color="000000"/>
              <w:right w:val="nil"/>
            </w:tcBorders>
            <w:noWrap/>
            <w:vAlign w:val="center"/>
          </w:tcPr>
          <w:p>
            <w:pPr>
              <w:keepNext w:val="0"/>
              <w:keepLines w:val="0"/>
              <w:widowControl/>
              <w:suppressLineNumbers w:val="0"/>
              <w:jc w:val="both"/>
              <w:textAlignment w:val="center"/>
              <w:rPr>
                <w:rFonts w:ascii="宋体" w:eastAsia="宋体" w:cs="宋体" w:hint="eastAsia"/>
                <w:i w:val="0"/>
                <w:iCs w:val="0"/>
                <w:color w:val="000000"/>
                <w:kern w:val="2"/>
                <w:sz w:val="24"/>
                <w:szCs w:val="24"/>
                <w:u w:val="none"/>
                <w:lang w:val="en-US" w:eastAsia="zh-CN" w:bidi="ar-SA"/>
              </w:rPr>
            </w:pPr>
            <w:r>
              <w:rPr>
                <w:rFonts w:ascii="宋体" w:eastAsia="宋体" w:cs="宋体" w:hint="eastAsia"/>
                <w:i w:val="0"/>
                <w:iCs w:val="0"/>
                <w:color w:val="000000"/>
                <w:kern w:val="0"/>
                <w:sz w:val="24"/>
                <w:szCs w:val="24"/>
                <w:u w:val="none"/>
                <w:lang w:val="en-US" w:eastAsia="zh-CN"/>
              </w:rPr>
              <w:t>单位</w:t>
            </w:r>
            <w:r>
              <w:rPr>
                <w:rFonts w:ascii="宋体" w:cs="宋体" w:hint="eastAsia"/>
                <w:i w:val="0"/>
                <w:iCs w:val="0"/>
                <w:color w:val="000000"/>
                <w:kern w:val="0"/>
                <w:sz w:val="24"/>
                <w:szCs w:val="24"/>
                <w:u w:val="none"/>
                <w:lang w:val="en-US" w:eastAsia="zh-CN"/>
              </w:rPr>
              <w:t>：</w:t>
            </w:r>
            <w:r>
              <w:rPr>
                <w:rFonts w:ascii="宋体" w:eastAsia="宋体" w:cs="宋体" w:hint="eastAsia"/>
                <w:i w:val="0"/>
                <w:iCs w:val="0"/>
                <w:color w:val="000000"/>
                <w:kern w:val="0"/>
                <w:sz w:val="24"/>
                <w:szCs w:val="24"/>
                <w:u w:val="none"/>
                <w:lang w:val="en-US" w:eastAsia="zh-CN"/>
              </w:rPr>
              <w:t>万元</w:t>
            </w:r>
          </w:p>
        </w:tc>
      </w:tr>
      <w:tr>
        <w:trPr>
          <w:trHeight w:val="558"/>
        </w:trPr>
        <w:tc>
          <w:tcPr>
            <w:tcW w:w="1512" w:type="pct"/>
            <w:gridSpan w:val="4"/>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项目</w:t>
            </w:r>
          </w:p>
        </w:tc>
        <w:tc>
          <w:tcPr>
            <w:tcW w:w="470" w:type="pct"/>
            <w:vMerge w:val="restart"/>
            <w:tcBorders>
              <w:top w:val="single" w:sz="4" w:space="0" w:color="000000"/>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本年收入合计</w:t>
            </w:r>
          </w:p>
          <w:p>
            <w:pPr>
              <w:widowControl/>
              <w:spacing w:line="560" w:lineRule="exact"/>
              <w:jc w:val="center"/>
              <w:textAlignment w:val="center"/>
              <w:rPr>
                <w:rFonts w:ascii="??" w:hAnsi="??"/>
                <w:sz w:val="22"/>
                <w:szCs w:val="22"/>
              </w:rPr>
            </w:pPr>
          </w:p>
        </w:tc>
        <w:tc>
          <w:tcPr>
            <w:tcW w:w="469" w:type="pct"/>
            <w:vMerge w:val="restart"/>
            <w:tcBorders>
              <w:top w:val="single" w:sz="4" w:space="0" w:color="000000"/>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财政拨款收入</w:t>
            </w:r>
          </w:p>
          <w:p>
            <w:pPr>
              <w:widowControl/>
              <w:spacing w:line="560" w:lineRule="exact"/>
              <w:jc w:val="center"/>
              <w:textAlignment w:val="center"/>
              <w:rPr>
                <w:rFonts w:ascii="??" w:hAnsi="??"/>
                <w:sz w:val="22"/>
                <w:szCs w:val="22"/>
              </w:rPr>
            </w:pPr>
          </w:p>
        </w:tc>
        <w:tc>
          <w:tcPr>
            <w:tcW w:w="469" w:type="pct"/>
            <w:vMerge w:val="restart"/>
            <w:tcBorders>
              <w:top w:val="single" w:sz="4" w:space="0" w:color="000000"/>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上级补助收入</w:t>
            </w:r>
          </w:p>
          <w:p>
            <w:pPr>
              <w:widowControl/>
              <w:spacing w:line="560" w:lineRule="exact"/>
              <w:jc w:val="center"/>
              <w:textAlignment w:val="center"/>
              <w:rPr>
                <w:rFonts w:ascii="??" w:hAnsi="??"/>
                <w:sz w:val="22"/>
                <w:szCs w:val="22"/>
              </w:rPr>
            </w:pPr>
          </w:p>
        </w:tc>
        <w:tc>
          <w:tcPr>
            <w:tcW w:w="337" w:type="pct"/>
            <w:vMerge w:val="restart"/>
            <w:tcBorders>
              <w:top w:val="single" w:sz="4" w:space="0" w:color="000000"/>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事业收入</w:t>
            </w:r>
          </w:p>
          <w:p>
            <w:pPr>
              <w:widowControl/>
              <w:spacing w:line="560" w:lineRule="exact"/>
              <w:jc w:val="center"/>
              <w:textAlignment w:val="center"/>
              <w:rPr>
                <w:rFonts w:ascii="??" w:hAnsi="??"/>
                <w:sz w:val="22"/>
                <w:szCs w:val="22"/>
              </w:rPr>
            </w:pPr>
          </w:p>
        </w:tc>
        <w:tc>
          <w:tcPr>
            <w:tcW w:w="337" w:type="pct"/>
            <w:vMerge w:val="restart"/>
            <w:tcBorders>
              <w:top w:val="single" w:sz="4" w:space="0" w:color="000000"/>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经营收入</w:t>
            </w:r>
          </w:p>
          <w:p>
            <w:pPr>
              <w:widowControl/>
              <w:spacing w:line="560" w:lineRule="exact"/>
              <w:jc w:val="center"/>
              <w:textAlignment w:val="center"/>
              <w:rPr>
                <w:rFonts w:ascii="??" w:hAnsi="??"/>
                <w:sz w:val="22"/>
                <w:szCs w:val="22"/>
              </w:rPr>
            </w:pPr>
          </w:p>
        </w:tc>
        <w:tc>
          <w:tcPr>
            <w:tcW w:w="953" w:type="pct"/>
            <w:vMerge w:val="restart"/>
            <w:tcBorders>
              <w:top w:val="single" w:sz="4" w:space="0" w:color="000000"/>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附属单位上缴收入</w:t>
            </w:r>
          </w:p>
          <w:p>
            <w:pPr>
              <w:widowControl/>
              <w:spacing w:line="560" w:lineRule="exact"/>
              <w:jc w:val="center"/>
              <w:textAlignment w:val="center"/>
              <w:rPr>
                <w:rFonts w:ascii="??" w:hAnsi="??"/>
                <w:sz w:val="22"/>
                <w:szCs w:val="22"/>
              </w:rPr>
            </w:pPr>
          </w:p>
        </w:tc>
        <w:tc>
          <w:tcPr>
            <w:tcW w:w="447" w:type="pct"/>
            <w:vMerge w:val="restart"/>
            <w:tcBorders>
              <w:top w:val="single" w:sz="4" w:space="0" w:color="000000"/>
              <w:left w:val="single" w:sz="4" w:space="0" w:color="000000"/>
              <w:bottom w:val="single" w:sz="4" w:space="0" w:color="000000"/>
              <w:right w:val="single" w:sz="4" w:space="0" w:color="000000"/>
            </w:tcBorders>
            <w:noWrap/>
          </w:tcPr>
          <w:p>
            <w:pPr>
              <w:keepNext w:val="0"/>
              <w:keepLines w:val="0"/>
              <w:widowControl/>
              <w:suppressLineNumbers w:val="0"/>
              <w:jc w:val="center"/>
              <w:textAlignment w:val="center"/>
              <w:rPr>
                <w:rFonts w:ascii="宋体" w:eastAsia="宋体" w:cs="宋体" w:hint="eastAsia"/>
                <w:i w:val="0"/>
                <w:iCs w:val="0"/>
                <w:color w:val="000000"/>
                <w:kern w:val="0"/>
                <w:sz w:val="22"/>
                <w:szCs w:val="22"/>
                <w:u w:val="none"/>
                <w:lang w:val="en-US" w:eastAsia="zh-CN"/>
              </w:rPr>
            </w:pPr>
          </w:p>
          <w:p>
            <w:pPr>
              <w:keepNext w:val="0"/>
              <w:keepLines w:val="0"/>
              <w:widowControl/>
              <w:suppressLineNumbers w:val="0"/>
              <w:jc w:val="both"/>
              <w:textAlignment w:val="center"/>
              <w:rPr>
                <w:rFonts w:ascii="宋体" w:eastAsia="宋体" w:cs="宋体" w:hint="eastAsia"/>
                <w:i w:val="0"/>
                <w:iCs w:val="0"/>
                <w:color w:val="000000"/>
                <w:kern w:val="0"/>
                <w:sz w:val="22"/>
                <w:szCs w:val="22"/>
                <w:u w:val="none"/>
                <w:lang w:val="en-US" w:eastAsia="zh-CN"/>
              </w:rPr>
            </w:pPr>
            <w:r>
              <w:rPr>
                <w:rFonts w:ascii="宋体" w:eastAsia="宋体" w:cs="宋体" w:hint="eastAsia"/>
                <w:i w:val="0"/>
                <w:iCs w:val="0"/>
                <w:color w:val="000000"/>
                <w:kern w:val="0"/>
                <w:sz w:val="22"/>
                <w:szCs w:val="22"/>
                <w:u w:val="none"/>
                <w:lang w:val="en-US" w:eastAsia="zh-CN"/>
              </w:rPr>
              <w:t>其他收入</w:t>
            </w:r>
          </w:p>
        </w:tc>
      </w:tr>
      <w:tr>
        <w:trPr>
          <w:trHeight w:val="789"/>
        </w:trPr>
        <w:tc>
          <w:tcPr>
            <w:tcW w:w="366" w:type="pct"/>
            <w:tcBorders>
              <w:top w:val="nil"/>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科目代码</w:t>
            </w:r>
          </w:p>
          <w:p>
            <w:pPr>
              <w:widowControl/>
              <w:spacing w:line="560" w:lineRule="exact"/>
              <w:jc w:val="center"/>
              <w:textAlignment w:val="center"/>
              <w:rPr>
                <w:rFonts w:ascii="??" w:hAnsi="??"/>
                <w:sz w:val="22"/>
                <w:szCs w:val="22"/>
              </w:rPr>
            </w:pPr>
          </w:p>
        </w:tc>
        <w:tc>
          <w:tcPr>
            <w:tcW w:w="1146" w:type="pct"/>
            <w:gridSpan w:val="3"/>
            <w:tcBorders>
              <w:top w:val="nil"/>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科目名称</w:t>
            </w:r>
          </w:p>
          <w:p>
            <w:pPr>
              <w:widowControl/>
              <w:spacing w:line="560" w:lineRule="exact"/>
              <w:jc w:val="center"/>
              <w:textAlignment w:val="center"/>
              <w:rPr>
                <w:rFonts w:ascii="??" w:hAnsi="??"/>
                <w:sz w:val="22"/>
                <w:szCs w:val="22"/>
              </w:rPr>
            </w:pPr>
          </w:p>
        </w:tc>
        <w:tc>
          <w:tcPr>
            <w:tcW w:w="470" w:type="pct"/>
            <w:vMerge/>
            <w:tcBorders>
              <w:top w:val="single" w:sz="4" w:space="0" w:color="000000"/>
              <w:left w:val="nil"/>
              <w:bottom w:val="single" w:sz="4" w:space="0" w:color="000000"/>
              <w:right w:val="single" w:sz="4" w:space="0" w:color="000000"/>
            </w:tcBorders>
            <w:noWrap/>
            <w:vAlign w:val="center"/>
          </w:tcPr>
          <w:p/>
        </w:tc>
        <w:tc>
          <w:tcPr>
            <w:tcW w:w="469" w:type="pct"/>
            <w:vMerge/>
            <w:tcBorders>
              <w:top w:val="single" w:sz="4" w:space="0" w:color="000000"/>
              <w:left w:val="nil"/>
              <w:bottom w:val="single" w:sz="4" w:space="0" w:color="000000"/>
              <w:right w:val="single" w:sz="4" w:space="0" w:color="000000"/>
            </w:tcBorders>
            <w:noWrap/>
            <w:vAlign w:val="center"/>
          </w:tcPr>
          <w:p/>
        </w:tc>
        <w:tc>
          <w:tcPr>
            <w:tcW w:w="469" w:type="pct"/>
            <w:vMerge/>
            <w:tcBorders>
              <w:top w:val="single" w:sz="4" w:space="0" w:color="000000"/>
              <w:left w:val="nil"/>
              <w:bottom w:val="single" w:sz="4" w:space="0" w:color="000000"/>
              <w:right w:val="single" w:sz="4" w:space="0" w:color="000000"/>
            </w:tcBorders>
            <w:noWrap/>
            <w:vAlign w:val="center"/>
          </w:tcPr>
          <w:p/>
        </w:tc>
        <w:tc>
          <w:tcPr>
            <w:tcW w:w="337" w:type="pct"/>
            <w:vMerge/>
            <w:tcBorders>
              <w:top w:val="single" w:sz="4" w:space="0" w:color="000000"/>
              <w:left w:val="nil"/>
              <w:bottom w:val="single" w:sz="4" w:space="0" w:color="000000"/>
              <w:right w:val="single" w:sz="4" w:space="0" w:color="000000"/>
            </w:tcBorders>
            <w:noWrap/>
            <w:vAlign w:val="center"/>
          </w:tcPr>
          <w:p/>
        </w:tc>
        <w:tc>
          <w:tcPr>
            <w:tcW w:w="337" w:type="pct"/>
            <w:vMerge/>
            <w:tcBorders>
              <w:top w:val="single" w:sz="4" w:space="0" w:color="000000"/>
              <w:left w:val="nil"/>
              <w:bottom w:val="single" w:sz="4" w:space="0" w:color="000000"/>
              <w:right w:val="single" w:sz="4" w:space="0" w:color="000000"/>
            </w:tcBorders>
            <w:noWrap/>
            <w:vAlign w:val="center"/>
          </w:tcPr>
          <w:p/>
        </w:tc>
        <w:tc>
          <w:tcPr>
            <w:tcW w:w="953" w:type="pct"/>
            <w:vMerge/>
            <w:tcBorders>
              <w:top w:val="single" w:sz="4" w:space="0" w:color="000000"/>
              <w:left w:val="nil"/>
              <w:bottom w:val="single" w:sz="4" w:space="0" w:color="000000"/>
              <w:right w:val="single" w:sz="4" w:space="0" w:color="000000"/>
            </w:tcBorders>
            <w:noWrap/>
            <w:vAlign w:val="center"/>
          </w:tcPr>
          <w:p/>
        </w:tc>
        <w:tc>
          <w:tcPr>
            <w:tcW w:w="447" w:type="pct"/>
            <w:vMerge/>
            <w:tcBorders>
              <w:top w:val="single" w:sz="4" w:space="0" w:color="000000"/>
              <w:left w:val="single" w:sz="4" w:space="0" w:color="000000"/>
              <w:bottom w:val="single" w:sz="4" w:space="0" w:color="000000"/>
              <w:right w:val="single" w:sz="4" w:space="0" w:color="000000"/>
            </w:tcBorders>
            <w:noWrap/>
            <w:vAlign w:val="center"/>
          </w:tcPr>
          <w:p/>
        </w:tc>
      </w:tr>
      <w:tr>
        <w:trPr>
          <w:trHeight w:val="497"/>
        </w:trPr>
        <w:tc>
          <w:tcPr>
            <w:tcW w:w="1512" w:type="pct"/>
            <w:gridSpan w:val="4"/>
            <w:tcBorders>
              <w:top w:val="nil"/>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栏次</w:t>
            </w:r>
          </w:p>
        </w:tc>
        <w:tc>
          <w:tcPr>
            <w:tcW w:w="470" w:type="pct"/>
            <w:tcBorders>
              <w:top w:val="nil"/>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1</w:t>
            </w:r>
          </w:p>
        </w:tc>
        <w:tc>
          <w:tcPr>
            <w:tcW w:w="469" w:type="pct"/>
            <w:tcBorders>
              <w:top w:val="nil"/>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2</w:t>
            </w:r>
          </w:p>
        </w:tc>
        <w:tc>
          <w:tcPr>
            <w:tcW w:w="469" w:type="pct"/>
            <w:tcBorders>
              <w:top w:val="nil"/>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3</w:t>
            </w:r>
          </w:p>
        </w:tc>
        <w:tc>
          <w:tcPr>
            <w:tcW w:w="337" w:type="pct"/>
            <w:tcBorders>
              <w:top w:val="nil"/>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4</w:t>
            </w:r>
          </w:p>
        </w:tc>
        <w:tc>
          <w:tcPr>
            <w:tcW w:w="337" w:type="pct"/>
            <w:tcBorders>
              <w:top w:val="nil"/>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5</w:t>
            </w:r>
          </w:p>
        </w:tc>
        <w:tc>
          <w:tcPr>
            <w:tcW w:w="953" w:type="pct"/>
            <w:tcBorders>
              <w:top w:val="nil"/>
              <w:left w:val="nil"/>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6</w:t>
            </w:r>
          </w:p>
        </w:tc>
        <w:tc>
          <w:tcPr>
            <w:tcW w:w="447"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7</w:t>
            </w:r>
          </w:p>
        </w:tc>
      </w:tr>
      <w:tr>
        <w:trPr>
          <w:trHeight w:val="285"/>
        </w:trPr>
        <w:tc>
          <w:tcPr>
            <w:tcW w:w="1512" w:type="pct"/>
            <w:gridSpan w:val="4"/>
            <w:tcBorders>
              <w:top w:val="nil"/>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合计</w:t>
            </w:r>
          </w:p>
        </w:tc>
        <w:tc>
          <w:tcPr>
            <w:tcW w:w="470"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849.78</w:t>
            </w:r>
          </w:p>
        </w:tc>
        <w:tc>
          <w:tcPr>
            <w:tcW w:w="469"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849.78</w:t>
            </w:r>
          </w:p>
        </w:tc>
        <w:tc>
          <w:tcPr>
            <w:tcW w:w="469"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953"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447" w:type="pct"/>
            <w:tcBorders>
              <w:top w:val="single" w:sz="4" w:space="0" w:color="000000"/>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r>
      <w:tr>
        <w:trPr>
          <w:trHeight w:val="461"/>
        </w:trPr>
        <w:tc>
          <w:tcPr>
            <w:tcW w:w="366" w:type="pct"/>
            <w:tcBorders>
              <w:top w:val="nil"/>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201</w:t>
            </w:r>
          </w:p>
        </w:tc>
        <w:tc>
          <w:tcPr>
            <w:tcW w:w="1146" w:type="pct"/>
            <w:gridSpan w:val="3"/>
            <w:tcBorders>
              <w:top w:val="nil"/>
              <w:left w:val="nil"/>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一般公共服务支出</w:t>
            </w:r>
          </w:p>
        </w:tc>
        <w:tc>
          <w:tcPr>
            <w:tcW w:w="470"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668.58 </w:t>
            </w:r>
          </w:p>
        </w:tc>
        <w:tc>
          <w:tcPr>
            <w:tcW w:w="469"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668.58 </w:t>
            </w:r>
          </w:p>
        </w:tc>
        <w:tc>
          <w:tcPr>
            <w:tcW w:w="469"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953"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44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r>
      <w:tr>
        <w:trPr>
          <w:trHeight w:val="403"/>
        </w:trPr>
        <w:tc>
          <w:tcPr>
            <w:tcW w:w="366" w:type="pct"/>
            <w:tcBorders>
              <w:top w:val="nil"/>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20109</w:t>
            </w:r>
          </w:p>
        </w:tc>
        <w:tc>
          <w:tcPr>
            <w:tcW w:w="1146" w:type="pct"/>
            <w:gridSpan w:val="3"/>
            <w:tcBorders>
              <w:top w:val="nil"/>
              <w:left w:val="nil"/>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海关事务</w:t>
            </w:r>
          </w:p>
        </w:tc>
        <w:tc>
          <w:tcPr>
            <w:tcW w:w="470"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668.58 </w:t>
            </w:r>
          </w:p>
        </w:tc>
        <w:tc>
          <w:tcPr>
            <w:tcW w:w="469"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668.58 </w:t>
            </w:r>
          </w:p>
        </w:tc>
        <w:tc>
          <w:tcPr>
            <w:tcW w:w="469"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953"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44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r>
      <w:tr>
        <w:trPr>
          <w:trHeight w:val="545"/>
        </w:trPr>
        <w:tc>
          <w:tcPr>
            <w:tcW w:w="366" w:type="pct"/>
            <w:tcBorders>
              <w:top w:val="nil"/>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2010901</w:t>
            </w:r>
          </w:p>
        </w:tc>
        <w:tc>
          <w:tcPr>
            <w:tcW w:w="1146" w:type="pct"/>
            <w:gridSpan w:val="3"/>
            <w:tcBorders>
              <w:top w:val="nil"/>
              <w:left w:val="nil"/>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行政运行</w:t>
            </w:r>
          </w:p>
        </w:tc>
        <w:tc>
          <w:tcPr>
            <w:tcW w:w="470"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521.40 </w:t>
            </w:r>
          </w:p>
        </w:tc>
        <w:tc>
          <w:tcPr>
            <w:tcW w:w="469"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521.40 </w:t>
            </w:r>
          </w:p>
        </w:tc>
        <w:tc>
          <w:tcPr>
            <w:tcW w:w="469"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953"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44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r>
      <w:tr>
        <w:trPr>
          <w:trHeight w:val="580"/>
        </w:trPr>
        <w:tc>
          <w:tcPr>
            <w:tcW w:w="366" w:type="pct"/>
            <w:tcBorders>
              <w:top w:val="nil"/>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2010909</w:t>
            </w:r>
          </w:p>
        </w:tc>
        <w:tc>
          <w:tcPr>
            <w:tcW w:w="1146" w:type="pct"/>
            <w:gridSpan w:val="3"/>
            <w:tcBorders>
              <w:top w:val="nil"/>
              <w:left w:val="nil"/>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海关关务</w:t>
            </w:r>
          </w:p>
        </w:tc>
        <w:tc>
          <w:tcPr>
            <w:tcW w:w="470"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85.08 </w:t>
            </w:r>
          </w:p>
        </w:tc>
        <w:tc>
          <w:tcPr>
            <w:tcW w:w="469"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85.08 </w:t>
            </w:r>
          </w:p>
        </w:tc>
        <w:tc>
          <w:tcPr>
            <w:tcW w:w="469"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953"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44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r>
      <w:tr>
        <w:trPr>
          <w:trHeight w:val="578"/>
        </w:trPr>
        <w:tc>
          <w:tcPr>
            <w:tcW w:w="366" w:type="pct"/>
            <w:tcBorders>
              <w:top w:val="nil"/>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2010911</w:t>
            </w:r>
          </w:p>
        </w:tc>
        <w:tc>
          <w:tcPr>
            <w:tcW w:w="1146" w:type="pct"/>
            <w:gridSpan w:val="3"/>
            <w:tcBorders>
              <w:top w:val="nil"/>
              <w:left w:val="nil"/>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海关监管</w:t>
            </w:r>
          </w:p>
        </w:tc>
        <w:tc>
          <w:tcPr>
            <w:tcW w:w="470"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55.50 </w:t>
            </w:r>
          </w:p>
        </w:tc>
        <w:tc>
          <w:tcPr>
            <w:tcW w:w="469"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55.50 </w:t>
            </w:r>
          </w:p>
        </w:tc>
        <w:tc>
          <w:tcPr>
            <w:tcW w:w="469"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953"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44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r>
      <w:tr>
        <w:trPr>
          <w:trHeight w:val="567"/>
        </w:trPr>
        <w:tc>
          <w:tcPr>
            <w:tcW w:w="366" w:type="pct"/>
            <w:tcBorders>
              <w:top w:val="nil"/>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2010912</w:t>
            </w:r>
          </w:p>
        </w:tc>
        <w:tc>
          <w:tcPr>
            <w:tcW w:w="1146" w:type="pct"/>
            <w:gridSpan w:val="3"/>
            <w:tcBorders>
              <w:top w:val="nil"/>
              <w:left w:val="nil"/>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检验检疫</w:t>
            </w:r>
          </w:p>
        </w:tc>
        <w:tc>
          <w:tcPr>
            <w:tcW w:w="470"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6.60 </w:t>
            </w:r>
          </w:p>
        </w:tc>
        <w:tc>
          <w:tcPr>
            <w:tcW w:w="469"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6.60 </w:t>
            </w:r>
          </w:p>
        </w:tc>
        <w:tc>
          <w:tcPr>
            <w:tcW w:w="469"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953"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44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r>
      <w:tr>
        <w:trPr>
          <w:trHeight w:val="403"/>
        </w:trPr>
        <w:tc>
          <w:tcPr>
            <w:tcW w:w="366" w:type="pct"/>
            <w:tcBorders>
              <w:top w:val="nil"/>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208</w:t>
            </w:r>
          </w:p>
        </w:tc>
        <w:tc>
          <w:tcPr>
            <w:tcW w:w="1146" w:type="pct"/>
            <w:gridSpan w:val="3"/>
            <w:tcBorders>
              <w:top w:val="nil"/>
              <w:left w:val="nil"/>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社会保障和就业支出</w:t>
            </w:r>
          </w:p>
        </w:tc>
        <w:tc>
          <w:tcPr>
            <w:tcW w:w="470"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65.49 </w:t>
            </w:r>
          </w:p>
        </w:tc>
        <w:tc>
          <w:tcPr>
            <w:tcW w:w="469"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65.49 </w:t>
            </w:r>
          </w:p>
        </w:tc>
        <w:tc>
          <w:tcPr>
            <w:tcW w:w="469"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953"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44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r>
      <w:tr>
        <w:trPr>
          <w:trHeight w:val="532"/>
        </w:trPr>
        <w:tc>
          <w:tcPr>
            <w:tcW w:w="366" w:type="pct"/>
            <w:tcBorders>
              <w:top w:val="nil"/>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20805</w:t>
            </w:r>
          </w:p>
        </w:tc>
        <w:tc>
          <w:tcPr>
            <w:tcW w:w="1146" w:type="pct"/>
            <w:gridSpan w:val="3"/>
            <w:tcBorders>
              <w:top w:val="nil"/>
              <w:left w:val="nil"/>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行政事业单位养老支出</w:t>
            </w:r>
          </w:p>
        </w:tc>
        <w:tc>
          <w:tcPr>
            <w:tcW w:w="470"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65.49 </w:t>
            </w:r>
          </w:p>
        </w:tc>
        <w:tc>
          <w:tcPr>
            <w:tcW w:w="469"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65.49 </w:t>
            </w:r>
          </w:p>
        </w:tc>
        <w:tc>
          <w:tcPr>
            <w:tcW w:w="469"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953"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44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r>
      <w:tr>
        <w:trPr>
          <w:trHeight w:val="474"/>
        </w:trPr>
        <w:tc>
          <w:tcPr>
            <w:tcW w:w="366" w:type="pct"/>
            <w:tcBorders>
              <w:top w:val="nil"/>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2080501</w:t>
            </w:r>
          </w:p>
        </w:tc>
        <w:tc>
          <w:tcPr>
            <w:tcW w:w="1146" w:type="pct"/>
            <w:gridSpan w:val="3"/>
            <w:tcBorders>
              <w:top w:val="nil"/>
              <w:left w:val="nil"/>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行政单位离退休</w:t>
            </w:r>
          </w:p>
        </w:tc>
        <w:tc>
          <w:tcPr>
            <w:tcW w:w="470"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0.90 </w:t>
            </w:r>
          </w:p>
        </w:tc>
        <w:tc>
          <w:tcPr>
            <w:tcW w:w="469"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0.90 </w:t>
            </w:r>
          </w:p>
        </w:tc>
        <w:tc>
          <w:tcPr>
            <w:tcW w:w="469"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953"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44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r>
      <w:tr>
        <w:trPr>
          <w:trHeight w:val="485"/>
        </w:trPr>
        <w:tc>
          <w:tcPr>
            <w:tcW w:w="366" w:type="pct"/>
            <w:tcBorders>
              <w:top w:val="nil"/>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2080505</w:t>
            </w:r>
          </w:p>
        </w:tc>
        <w:tc>
          <w:tcPr>
            <w:tcW w:w="1146" w:type="pct"/>
            <w:gridSpan w:val="3"/>
            <w:tcBorders>
              <w:top w:val="nil"/>
              <w:left w:val="nil"/>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机关事业单位基本养老保险缴费支出</w:t>
            </w:r>
          </w:p>
        </w:tc>
        <w:tc>
          <w:tcPr>
            <w:tcW w:w="470"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44.05 </w:t>
            </w:r>
          </w:p>
        </w:tc>
        <w:tc>
          <w:tcPr>
            <w:tcW w:w="469"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44.05 </w:t>
            </w:r>
          </w:p>
        </w:tc>
        <w:tc>
          <w:tcPr>
            <w:tcW w:w="469"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953"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44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r>
      <w:tr>
        <w:trPr>
          <w:trHeight w:val="403"/>
        </w:trPr>
        <w:tc>
          <w:tcPr>
            <w:tcW w:w="366" w:type="pct"/>
            <w:tcBorders>
              <w:top w:val="nil"/>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2080506</w:t>
            </w:r>
          </w:p>
        </w:tc>
        <w:tc>
          <w:tcPr>
            <w:tcW w:w="1146" w:type="pct"/>
            <w:gridSpan w:val="3"/>
            <w:tcBorders>
              <w:top w:val="nil"/>
              <w:left w:val="nil"/>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机关事业单位职业年金缴费支出</w:t>
            </w:r>
          </w:p>
        </w:tc>
        <w:tc>
          <w:tcPr>
            <w:tcW w:w="470"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20.54 </w:t>
            </w:r>
          </w:p>
        </w:tc>
        <w:tc>
          <w:tcPr>
            <w:tcW w:w="469"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20.54 </w:t>
            </w:r>
          </w:p>
        </w:tc>
        <w:tc>
          <w:tcPr>
            <w:tcW w:w="469"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953"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44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r>
      <w:tr>
        <w:trPr>
          <w:trHeight w:val="426"/>
        </w:trPr>
        <w:tc>
          <w:tcPr>
            <w:tcW w:w="366" w:type="pct"/>
            <w:tcBorders>
              <w:top w:val="nil"/>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210</w:t>
            </w:r>
          </w:p>
        </w:tc>
        <w:tc>
          <w:tcPr>
            <w:tcW w:w="1146" w:type="pct"/>
            <w:gridSpan w:val="3"/>
            <w:tcBorders>
              <w:top w:val="nil"/>
              <w:left w:val="nil"/>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卫生健康支出</w:t>
            </w:r>
          </w:p>
        </w:tc>
        <w:tc>
          <w:tcPr>
            <w:tcW w:w="470"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36.61 </w:t>
            </w:r>
          </w:p>
        </w:tc>
        <w:tc>
          <w:tcPr>
            <w:tcW w:w="469"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36.61 </w:t>
            </w:r>
          </w:p>
        </w:tc>
        <w:tc>
          <w:tcPr>
            <w:tcW w:w="469"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953"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44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r>
      <w:tr>
        <w:trPr>
          <w:trHeight w:val="532"/>
        </w:trPr>
        <w:tc>
          <w:tcPr>
            <w:tcW w:w="366" w:type="pct"/>
            <w:tcBorders>
              <w:top w:val="nil"/>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21011</w:t>
            </w:r>
          </w:p>
        </w:tc>
        <w:tc>
          <w:tcPr>
            <w:tcW w:w="1146" w:type="pct"/>
            <w:gridSpan w:val="3"/>
            <w:tcBorders>
              <w:top w:val="nil"/>
              <w:left w:val="nil"/>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行政事业单位医疗</w:t>
            </w:r>
          </w:p>
        </w:tc>
        <w:tc>
          <w:tcPr>
            <w:tcW w:w="470"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36.61 </w:t>
            </w:r>
          </w:p>
        </w:tc>
        <w:tc>
          <w:tcPr>
            <w:tcW w:w="469"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36.61 </w:t>
            </w:r>
          </w:p>
        </w:tc>
        <w:tc>
          <w:tcPr>
            <w:tcW w:w="469"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953"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44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r>
      <w:tr>
        <w:trPr>
          <w:trHeight w:val="450"/>
        </w:trPr>
        <w:tc>
          <w:tcPr>
            <w:tcW w:w="366" w:type="pct"/>
            <w:tcBorders>
              <w:top w:val="nil"/>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2101101</w:t>
            </w:r>
          </w:p>
        </w:tc>
        <w:tc>
          <w:tcPr>
            <w:tcW w:w="1146" w:type="pct"/>
            <w:gridSpan w:val="3"/>
            <w:tcBorders>
              <w:top w:val="nil"/>
              <w:left w:val="nil"/>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行政单位医疗</w:t>
            </w:r>
          </w:p>
        </w:tc>
        <w:tc>
          <w:tcPr>
            <w:tcW w:w="470"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25.12 </w:t>
            </w:r>
          </w:p>
        </w:tc>
        <w:tc>
          <w:tcPr>
            <w:tcW w:w="469"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25.12 </w:t>
            </w:r>
          </w:p>
        </w:tc>
        <w:tc>
          <w:tcPr>
            <w:tcW w:w="469"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953"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44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r>
      <w:tr>
        <w:trPr>
          <w:trHeight w:val="497"/>
        </w:trPr>
        <w:tc>
          <w:tcPr>
            <w:tcW w:w="366" w:type="pct"/>
            <w:tcBorders>
              <w:top w:val="nil"/>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2101103</w:t>
            </w:r>
          </w:p>
        </w:tc>
        <w:tc>
          <w:tcPr>
            <w:tcW w:w="1146" w:type="pct"/>
            <w:gridSpan w:val="3"/>
            <w:tcBorders>
              <w:top w:val="nil"/>
              <w:left w:val="nil"/>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公务员医疗补助</w:t>
            </w:r>
          </w:p>
        </w:tc>
        <w:tc>
          <w:tcPr>
            <w:tcW w:w="470"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11.00 </w:t>
            </w:r>
          </w:p>
        </w:tc>
        <w:tc>
          <w:tcPr>
            <w:tcW w:w="469"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11.00 </w:t>
            </w:r>
          </w:p>
        </w:tc>
        <w:tc>
          <w:tcPr>
            <w:tcW w:w="469"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953"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44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r>
      <w:tr>
        <w:trPr>
          <w:trHeight w:val="473"/>
        </w:trPr>
        <w:tc>
          <w:tcPr>
            <w:tcW w:w="366" w:type="pct"/>
            <w:tcBorders>
              <w:top w:val="nil"/>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2101199</w:t>
            </w:r>
          </w:p>
        </w:tc>
        <w:tc>
          <w:tcPr>
            <w:tcW w:w="1146" w:type="pct"/>
            <w:gridSpan w:val="3"/>
            <w:tcBorders>
              <w:top w:val="nil"/>
              <w:left w:val="nil"/>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其他行政事业单位医疗支出</w:t>
            </w:r>
          </w:p>
        </w:tc>
        <w:tc>
          <w:tcPr>
            <w:tcW w:w="470"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0.49 </w:t>
            </w:r>
          </w:p>
        </w:tc>
        <w:tc>
          <w:tcPr>
            <w:tcW w:w="469"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0.49 </w:t>
            </w:r>
          </w:p>
        </w:tc>
        <w:tc>
          <w:tcPr>
            <w:tcW w:w="469"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953"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44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r>
      <w:tr>
        <w:trPr>
          <w:trHeight w:val="520"/>
        </w:trPr>
        <w:tc>
          <w:tcPr>
            <w:tcW w:w="366" w:type="pct"/>
            <w:tcBorders>
              <w:top w:val="nil"/>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221</w:t>
            </w:r>
          </w:p>
        </w:tc>
        <w:tc>
          <w:tcPr>
            <w:tcW w:w="1146" w:type="pct"/>
            <w:gridSpan w:val="3"/>
            <w:tcBorders>
              <w:top w:val="nil"/>
              <w:left w:val="nil"/>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住房保障支出</w:t>
            </w:r>
          </w:p>
        </w:tc>
        <w:tc>
          <w:tcPr>
            <w:tcW w:w="470"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79.10 </w:t>
            </w:r>
          </w:p>
        </w:tc>
        <w:tc>
          <w:tcPr>
            <w:tcW w:w="469"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79.10 </w:t>
            </w:r>
          </w:p>
        </w:tc>
        <w:tc>
          <w:tcPr>
            <w:tcW w:w="469"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953"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44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r>
      <w:tr>
        <w:trPr>
          <w:trHeight w:val="497"/>
        </w:trPr>
        <w:tc>
          <w:tcPr>
            <w:tcW w:w="366" w:type="pct"/>
            <w:tcBorders>
              <w:top w:val="nil"/>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22102</w:t>
            </w:r>
          </w:p>
        </w:tc>
        <w:tc>
          <w:tcPr>
            <w:tcW w:w="1146" w:type="pct"/>
            <w:gridSpan w:val="3"/>
            <w:tcBorders>
              <w:top w:val="nil"/>
              <w:left w:val="nil"/>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住房改革支出</w:t>
            </w:r>
          </w:p>
        </w:tc>
        <w:tc>
          <w:tcPr>
            <w:tcW w:w="470"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79.10 </w:t>
            </w:r>
          </w:p>
        </w:tc>
        <w:tc>
          <w:tcPr>
            <w:tcW w:w="469"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79.10 </w:t>
            </w:r>
          </w:p>
        </w:tc>
        <w:tc>
          <w:tcPr>
            <w:tcW w:w="469"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953"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44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r>
      <w:tr>
        <w:trPr>
          <w:trHeight w:val="532"/>
        </w:trPr>
        <w:tc>
          <w:tcPr>
            <w:tcW w:w="366" w:type="pct"/>
            <w:tcBorders>
              <w:top w:val="nil"/>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2210201</w:t>
            </w:r>
          </w:p>
        </w:tc>
        <w:tc>
          <w:tcPr>
            <w:tcW w:w="1146" w:type="pct"/>
            <w:gridSpan w:val="3"/>
            <w:tcBorders>
              <w:top w:val="nil"/>
              <w:left w:val="nil"/>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住房公积金</w:t>
            </w:r>
          </w:p>
        </w:tc>
        <w:tc>
          <w:tcPr>
            <w:tcW w:w="470"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44.00 </w:t>
            </w:r>
          </w:p>
        </w:tc>
        <w:tc>
          <w:tcPr>
            <w:tcW w:w="469"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44.00 </w:t>
            </w:r>
          </w:p>
        </w:tc>
        <w:tc>
          <w:tcPr>
            <w:tcW w:w="469"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953"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44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r>
      <w:tr>
        <w:trPr>
          <w:trHeight w:val="577"/>
        </w:trPr>
        <w:tc>
          <w:tcPr>
            <w:tcW w:w="366" w:type="pct"/>
            <w:tcBorders>
              <w:top w:val="nil"/>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2210203</w:t>
            </w:r>
          </w:p>
        </w:tc>
        <w:tc>
          <w:tcPr>
            <w:tcW w:w="1146" w:type="pct"/>
            <w:gridSpan w:val="3"/>
            <w:tcBorders>
              <w:top w:val="nil"/>
              <w:left w:val="nil"/>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购房补贴</w:t>
            </w:r>
          </w:p>
        </w:tc>
        <w:tc>
          <w:tcPr>
            <w:tcW w:w="470"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35.10 </w:t>
            </w:r>
          </w:p>
        </w:tc>
        <w:tc>
          <w:tcPr>
            <w:tcW w:w="469" w:type="pct"/>
            <w:tcBorders>
              <w:top w:val="nil"/>
              <w:left w:val="nil"/>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kern w:val="0"/>
                <w:sz w:val="22"/>
                <w:szCs w:val="22"/>
                <w:u w:val="none"/>
                <w:lang w:val="en-US" w:eastAsia="zh-CN"/>
              </w:rPr>
              <w:t xml:space="preserve">35.10 </w:t>
            </w:r>
          </w:p>
        </w:tc>
        <w:tc>
          <w:tcPr>
            <w:tcW w:w="469"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33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953"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c>
          <w:tcPr>
            <w:tcW w:w="447" w:type="pct"/>
            <w:tcBorders>
              <w:top w:val="nil"/>
              <w:left w:val="nil"/>
              <w:bottom w:val="single" w:sz="4" w:space="0" w:color="000000"/>
              <w:right w:val="single" w:sz="4" w:space="0" w:color="000000"/>
            </w:tcBorders>
            <w:noWrap/>
            <w:vAlign w:val="center"/>
          </w:tcPr>
          <w:p>
            <w:pPr>
              <w:jc w:val="right"/>
              <w:rPr>
                <w:rFonts w:ascii="宋体" w:eastAsia="宋体" w:cs="宋体" w:hint="eastAsia"/>
                <w:i w:val="0"/>
                <w:iCs w:val="0"/>
                <w:color w:val="000000"/>
                <w:sz w:val="22"/>
                <w:szCs w:val="22"/>
                <w:u w:val="none"/>
              </w:rPr>
            </w:pPr>
          </w:p>
        </w:tc>
      </w:tr>
    </w:tbl>
    <w:p>
      <w:pPr>
        <w:keepNext w:val="0"/>
        <w:keepLines w:val="0"/>
        <w:widowControl/>
        <w:suppressLineNumbers w:val="0"/>
        <w:jc w:val="left"/>
        <w:textAlignment w:val="center"/>
        <w:rPr>
          <w:rFonts w:ascii="宋体" w:eastAsia="宋体" w:cs="宋体" w:hint="eastAsia"/>
          <w:i w:val="0"/>
          <w:iCs w:val="0"/>
          <w:color w:val="000000"/>
          <w:kern w:val="0"/>
          <w:sz w:val="24"/>
          <w:szCs w:val="24"/>
          <w:u w:val="none"/>
          <w:lang w:val="en-US" w:eastAsia="zh-CN"/>
        </w:rPr>
      </w:pPr>
      <w:r>
        <w:rPr>
          <w:rFonts w:ascii="宋体" w:eastAsia="宋体" w:cs="宋体" w:hint="eastAsia"/>
          <w:i w:val="0"/>
          <w:iCs w:val="0"/>
          <w:color w:val="000000"/>
          <w:kern w:val="0"/>
          <w:sz w:val="24"/>
          <w:szCs w:val="24"/>
          <w:u w:val="none"/>
          <w:lang w:val="en-US" w:eastAsia="zh-CN"/>
        </w:rPr>
        <w:t>注：本表反映部门本年度取得的各项收入情况。</w:t>
      </w:r>
    </w:p>
    <w:p>
      <w:pPr>
        <w:spacing w:line="560" w:lineRule="exact"/>
      </w:pPr>
    </w:p>
    <w:p>
      <w:pPr>
        <w:spacing w:line="560" w:lineRule="exact"/>
      </w:pPr>
    </w:p>
    <w:p>
      <w:pPr>
        <w:spacing w:line="560" w:lineRule="exact"/>
      </w:pPr>
    </w:p>
    <w:p>
      <w:pPr>
        <w:spacing w:line="560" w:lineRule="exact"/>
      </w:pPr>
    </w:p>
    <w:tbl>
      <w:tblPr>
        <w:tblpPr w:leftFromText="180" w:rightFromText="180" w:vertAnchor="text" w:horzAnchor="page" w:tblpX="1477" w:tblpY="268"/>
        <w:tblOverlap w:val="never"/>
        <w:tblW w:w="15174"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365"/>
        <w:gridCol w:w="365"/>
        <w:gridCol w:w="366"/>
        <w:gridCol w:w="4279"/>
        <w:gridCol w:w="1759"/>
        <w:gridCol w:w="1255"/>
        <w:gridCol w:w="1255"/>
        <w:gridCol w:w="1759"/>
        <w:gridCol w:w="1255"/>
        <w:gridCol w:w="2516"/>
      </w:tblGrid>
      <w:tr>
        <w:trPr>
          <w:trHeight w:val="560"/>
        </w:trPr>
        <w:tc>
          <w:tcPr>
            <w:tcW w:w="15174" w:type="dxa"/>
            <w:gridSpan w:val="10"/>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44"/>
                <w:szCs w:val="44"/>
                <w:u w:val="none"/>
              </w:rPr>
            </w:pPr>
            <w:r>
              <w:rPr>
                <w:rFonts w:ascii="宋体" w:eastAsia="宋体" w:cs="宋体" w:hint="eastAsia"/>
                <w:i w:val="0"/>
                <w:iCs w:val="0"/>
                <w:color w:val="000000"/>
                <w:kern w:val="0"/>
                <w:sz w:val="44"/>
                <w:szCs w:val="44"/>
                <w:u w:val="none"/>
                <w:lang w:val="en-US" w:eastAsia="zh-CN"/>
              </w:rPr>
              <w:t>支出决算表</w:t>
            </w:r>
          </w:p>
        </w:tc>
      </w:tr>
      <w:tr>
        <w:trPr>
          <w:trHeight w:val="306"/>
        </w:trPr>
        <w:tc>
          <w:tcPr>
            <w:tcW w:w="36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36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427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75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25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25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75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25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2516"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公开03表</w:t>
            </w:r>
          </w:p>
        </w:tc>
      </w:tr>
      <w:tr>
        <w:trPr>
          <w:trHeight w:val="306"/>
        </w:trPr>
        <w:tc>
          <w:tcPr>
            <w:tcW w:w="7134"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部门：中华人民共和国额布都格海关</w:t>
            </w:r>
          </w:p>
        </w:tc>
        <w:tc>
          <w:tcPr>
            <w:tcW w:w="1255" w:type="dxa"/>
            <w:tcBorders>
              <w:top w:val="nil"/>
              <w:left w:val="nil"/>
              <w:bottom w:val="nil"/>
              <w:right w:val="nil"/>
            </w:tcBorders>
            <w:shd w:val="clear" w:color="auto" w:fill="auto"/>
            <w:noWrap/>
            <w:vAlign w:val="center"/>
          </w:tcPr>
          <w:p>
            <w:pPr>
              <w:jc w:val="center"/>
              <w:rPr>
                <w:rFonts w:ascii="宋体" w:eastAsia="宋体" w:cs="宋体" w:hint="eastAsia"/>
                <w:i w:val="0"/>
                <w:iCs w:val="0"/>
                <w:color w:val="000000"/>
                <w:sz w:val="24"/>
                <w:szCs w:val="24"/>
                <w:u w:val="none"/>
              </w:rPr>
            </w:pPr>
          </w:p>
        </w:tc>
        <w:tc>
          <w:tcPr>
            <w:tcW w:w="125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75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25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2516"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单位：万元</w:t>
            </w:r>
          </w:p>
        </w:tc>
      </w:tr>
      <w:tr>
        <w:trPr>
          <w:trHeight w:val="301"/>
        </w:trPr>
        <w:tc>
          <w:tcPr>
            <w:tcW w:w="5375"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w:t>
            </w:r>
          </w:p>
        </w:tc>
        <w:tc>
          <w:tcPr>
            <w:tcW w:w="1759"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本年支出合计</w:t>
            </w:r>
          </w:p>
        </w:tc>
        <w:tc>
          <w:tcPr>
            <w:tcW w:w="1255"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基本支出</w:t>
            </w:r>
          </w:p>
        </w:tc>
        <w:tc>
          <w:tcPr>
            <w:tcW w:w="1255"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项目支出</w:t>
            </w:r>
          </w:p>
        </w:tc>
        <w:tc>
          <w:tcPr>
            <w:tcW w:w="1759"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上缴上级支出</w:t>
            </w:r>
          </w:p>
        </w:tc>
        <w:tc>
          <w:tcPr>
            <w:tcW w:w="1255"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经营支出</w:t>
            </w:r>
          </w:p>
        </w:tc>
        <w:tc>
          <w:tcPr>
            <w:tcW w:w="2516"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对附属单位补助支出</w:t>
            </w:r>
          </w:p>
        </w:tc>
      </w:tr>
      <w:tr>
        <w:trPr>
          <w:trHeight w:val="316"/>
        </w:trPr>
        <w:tc>
          <w:tcPr>
            <w:tcW w:w="1096" w:type="dxa"/>
            <w:gridSpan w:val="3"/>
            <w:vMerge w:val="restar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科目代码</w:t>
            </w:r>
          </w:p>
        </w:tc>
        <w:tc>
          <w:tcPr>
            <w:tcW w:w="4279"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科目名称</w:t>
            </w:r>
          </w:p>
        </w:tc>
        <w:tc>
          <w:tcPr>
            <w:tcW w:w="1759" w:type="dxa"/>
            <w:vMerge/>
            <w:tcBorders>
              <w:top w:val="single" w:sz="4" w:space="0" w:color="000000"/>
              <w:left w:val="nil"/>
              <w:bottom w:val="single" w:sz="4" w:space="0" w:color="000000"/>
              <w:right w:val="single" w:sz="4" w:space="0" w:color="000000"/>
            </w:tcBorders>
            <w:shd w:val="clear" w:color="auto" w:fill="auto"/>
            <w:noWrap/>
            <w:vAlign w:val="center"/>
          </w:tcPr>
          <w:p/>
        </w:tc>
        <w:tc>
          <w:tcPr>
            <w:tcW w:w="1255" w:type="dxa"/>
            <w:vMerge/>
            <w:tcBorders>
              <w:top w:val="single" w:sz="4" w:space="0" w:color="000000"/>
              <w:left w:val="nil"/>
              <w:bottom w:val="single" w:sz="4" w:space="0" w:color="000000"/>
              <w:right w:val="single" w:sz="4" w:space="0" w:color="000000"/>
            </w:tcBorders>
            <w:shd w:val="clear" w:color="auto" w:fill="auto"/>
            <w:noWrap/>
            <w:vAlign w:val="center"/>
          </w:tcPr>
          <w:p/>
        </w:tc>
        <w:tc>
          <w:tcPr>
            <w:tcW w:w="1255" w:type="dxa"/>
            <w:vMerge/>
            <w:tcBorders>
              <w:top w:val="single" w:sz="4" w:space="0" w:color="000000"/>
              <w:left w:val="nil"/>
              <w:bottom w:val="single" w:sz="4" w:space="0" w:color="000000"/>
              <w:right w:val="single" w:sz="4" w:space="0" w:color="000000"/>
            </w:tcBorders>
            <w:shd w:val="clear" w:color="auto" w:fill="auto"/>
            <w:noWrap/>
            <w:vAlign w:val="center"/>
          </w:tcPr>
          <w:p/>
        </w:tc>
        <w:tc>
          <w:tcPr>
            <w:tcW w:w="1759" w:type="dxa"/>
            <w:vMerge/>
            <w:tcBorders>
              <w:top w:val="single" w:sz="4" w:space="0" w:color="000000"/>
              <w:left w:val="nil"/>
              <w:bottom w:val="single" w:sz="4" w:space="0" w:color="000000"/>
              <w:right w:val="single" w:sz="4" w:space="0" w:color="000000"/>
            </w:tcBorders>
            <w:shd w:val="clear" w:color="auto" w:fill="auto"/>
            <w:noWrap/>
            <w:vAlign w:val="center"/>
          </w:tcPr>
          <w:p/>
        </w:tc>
        <w:tc>
          <w:tcPr>
            <w:tcW w:w="1255" w:type="dxa"/>
            <w:vMerge/>
            <w:tcBorders>
              <w:top w:val="single" w:sz="4" w:space="0" w:color="000000"/>
              <w:left w:val="nil"/>
              <w:bottom w:val="single" w:sz="4" w:space="0" w:color="000000"/>
              <w:right w:val="single" w:sz="4" w:space="0" w:color="000000"/>
            </w:tcBorders>
            <w:shd w:val="clear" w:color="auto" w:fill="auto"/>
            <w:noWrap/>
            <w:vAlign w:val="center"/>
          </w:tcPr>
          <w:p/>
        </w:tc>
        <w:tc>
          <w:tcPr>
            <w:tcW w:w="2516" w:type="dxa"/>
            <w:vMerge/>
            <w:tcBorders>
              <w:top w:val="single" w:sz="4" w:space="0" w:color="000000"/>
              <w:left w:val="nil"/>
              <w:bottom w:val="single" w:sz="4" w:space="0" w:color="000000"/>
              <w:right w:val="single" w:sz="4" w:space="0" w:color="000000"/>
            </w:tcBorders>
            <w:shd w:val="clear" w:color="auto" w:fill="auto"/>
            <w:noWrap/>
            <w:vAlign w:val="center"/>
          </w:tcPr>
          <w:p/>
        </w:tc>
      </w:tr>
      <w:tr>
        <w:trPr>
          <w:trHeight w:val="316"/>
        </w:trPr>
        <w:tc>
          <w:tcPr>
            <w:tcW w:w="1096" w:type="dxa"/>
            <w:gridSpan w:val="3"/>
            <w:vMerge/>
            <w:tcBorders>
              <w:top w:val="nil"/>
              <w:left w:val="single" w:sz="4" w:space="0" w:color="000000"/>
              <w:bottom w:val="single" w:sz="4" w:space="0" w:color="000000"/>
              <w:right w:val="single" w:sz="4" w:space="0" w:color="000000"/>
            </w:tcBorders>
            <w:shd w:val="clear" w:color="auto" w:fill="auto"/>
            <w:noWrap/>
            <w:vAlign w:val="center"/>
          </w:tcPr>
          <w:p/>
        </w:tc>
        <w:tc>
          <w:tcPr>
            <w:tcW w:w="4279" w:type="dxa"/>
            <w:vMerge/>
            <w:tcBorders>
              <w:top w:val="nil"/>
              <w:left w:val="nil"/>
              <w:bottom w:val="single" w:sz="4" w:space="0" w:color="000000"/>
              <w:right w:val="single" w:sz="4" w:space="0" w:color="000000"/>
            </w:tcBorders>
            <w:shd w:val="clear" w:color="auto" w:fill="auto"/>
            <w:noWrap/>
            <w:vAlign w:val="center"/>
          </w:tcPr>
          <w:p/>
        </w:tc>
        <w:tc>
          <w:tcPr>
            <w:tcW w:w="1759" w:type="dxa"/>
            <w:vMerge/>
            <w:tcBorders>
              <w:top w:val="single" w:sz="4" w:space="0" w:color="000000"/>
              <w:left w:val="nil"/>
              <w:bottom w:val="single" w:sz="4" w:space="0" w:color="000000"/>
              <w:right w:val="single" w:sz="4" w:space="0" w:color="000000"/>
            </w:tcBorders>
            <w:shd w:val="clear" w:color="auto" w:fill="auto"/>
            <w:noWrap/>
            <w:vAlign w:val="center"/>
          </w:tcPr>
          <w:p/>
        </w:tc>
        <w:tc>
          <w:tcPr>
            <w:tcW w:w="1255" w:type="dxa"/>
            <w:vMerge/>
            <w:tcBorders>
              <w:top w:val="single" w:sz="4" w:space="0" w:color="000000"/>
              <w:left w:val="nil"/>
              <w:bottom w:val="single" w:sz="4" w:space="0" w:color="000000"/>
              <w:right w:val="single" w:sz="4" w:space="0" w:color="000000"/>
            </w:tcBorders>
            <w:shd w:val="clear" w:color="auto" w:fill="auto"/>
            <w:noWrap/>
            <w:vAlign w:val="center"/>
          </w:tcPr>
          <w:p/>
        </w:tc>
        <w:tc>
          <w:tcPr>
            <w:tcW w:w="1255" w:type="dxa"/>
            <w:vMerge/>
            <w:tcBorders>
              <w:top w:val="single" w:sz="4" w:space="0" w:color="000000"/>
              <w:left w:val="nil"/>
              <w:bottom w:val="single" w:sz="4" w:space="0" w:color="000000"/>
              <w:right w:val="single" w:sz="4" w:space="0" w:color="000000"/>
            </w:tcBorders>
            <w:shd w:val="clear" w:color="auto" w:fill="auto"/>
            <w:noWrap/>
            <w:vAlign w:val="center"/>
          </w:tcPr>
          <w:p/>
        </w:tc>
        <w:tc>
          <w:tcPr>
            <w:tcW w:w="1759" w:type="dxa"/>
            <w:vMerge/>
            <w:tcBorders>
              <w:top w:val="single" w:sz="4" w:space="0" w:color="000000"/>
              <w:left w:val="nil"/>
              <w:bottom w:val="single" w:sz="4" w:space="0" w:color="000000"/>
              <w:right w:val="single" w:sz="4" w:space="0" w:color="000000"/>
            </w:tcBorders>
            <w:shd w:val="clear" w:color="auto" w:fill="auto"/>
            <w:noWrap/>
            <w:vAlign w:val="center"/>
          </w:tcPr>
          <w:p/>
        </w:tc>
        <w:tc>
          <w:tcPr>
            <w:tcW w:w="1255" w:type="dxa"/>
            <w:vMerge/>
            <w:tcBorders>
              <w:top w:val="single" w:sz="4" w:space="0" w:color="000000"/>
              <w:left w:val="nil"/>
              <w:bottom w:val="single" w:sz="4" w:space="0" w:color="000000"/>
              <w:right w:val="single" w:sz="4" w:space="0" w:color="000000"/>
            </w:tcBorders>
            <w:shd w:val="clear" w:color="auto" w:fill="auto"/>
            <w:noWrap/>
            <w:vAlign w:val="center"/>
          </w:tcPr>
          <w:p/>
        </w:tc>
        <w:tc>
          <w:tcPr>
            <w:tcW w:w="2516" w:type="dxa"/>
            <w:vMerge/>
            <w:tcBorders>
              <w:top w:val="single" w:sz="4" w:space="0" w:color="000000"/>
              <w:left w:val="nil"/>
              <w:bottom w:val="single" w:sz="4" w:space="0" w:color="000000"/>
              <w:right w:val="single" w:sz="4" w:space="0" w:color="000000"/>
            </w:tcBorders>
            <w:shd w:val="clear" w:color="auto" w:fill="auto"/>
            <w:noWrap/>
            <w:vAlign w:val="center"/>
          </w:tcPr>
          <w:p/>
        </w:tc>
      </w:tr>
      <w:tr>
        <w:trPr>
          <w:trHeight w:val="324"/>
        </w:trPr>
        <w:tc>
          <w:tcPr>
            <w:tcW w:w="5375" w:type="dxa"/>
            <w:gridSpan w:val="4"/>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栏次</w:t>
            </w:r>
          </w:p>
        </w:tc>
        <w:tc>
          <w:tcPr>
            <w:tcW w:w="175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w:t>
            </w:r>
          </w:p>
        </w:tc>
        <w:tc>
          <w:tcPr>
            <w:tcW w:w="125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w:t>
            </w:r>
          </w:p>
        </w:tc>
        <w:tc>
          <w:tcPr>
            <w:tcW w:w="125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w:t>
            </w:r>
          </w:p>
        </w:tc>
        <w:tc>
          <w:tcPr>
            <w:tcW w:w="175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w:t>
            </w:r>
          </w:p>
        </w:tc>
        <w:tc>
          <w:tcPr>
            <w:tcW w:w="125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w:t>
            </w:r>
          </w:p>
        </w:tc>
        <w:tc>
          <w:tcPr>
            <w:tcW w:w="251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w:t>
            </w:r>
          </w:p>
        </w:tc>
      </w:tr>
      <w:tr>
        <w:trPr>
          <w:trHeight w:val="301"/>
        </w:trPr>
        <w:tc>
          <w:tcPr>
            <w:tcW w:w="5375" w:type="dxa"/>
            <w:gridSpan w:val="4"/>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合计</w:t>
            </w:r>
          </w:p>
        </w:tc>
        <w:tc>
          <w:tcPr>
            <w:tcW w:w="175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833.15</w:t>
            </w:r>
          </w:p>
        </w:tc>
        <w:tc>
          <w:tcPr>
            <w:tcW w:w="125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690.39</w:t>
            </w:r>
          </w:p>
        </w:tc>
        <w:tc>
          <w:tcPr>
            <w:tcW w:w="125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142.76</w:t>
            </w:r>
          </w:p>
        </w:tc>
        <w:tc>
          <w:tcPr>
            <w:tcW w:w="175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51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01"/>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201</w:t>
            </w:r>
          </w:p>
        </w:tc>
        <w:tc>
          <w:tcPr>
            <w:tcW w:w="427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一般公共服务支出</w:t>
            </w:r>
          </w:p>
        </w:tc>
        <w:tc>
          <w:tcPr>
            <w:tcW w:w="175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661.45 </w:t>
            </w:r>
          </w:p>
        </w:tc>
        <w:tc>
          <w:tcPr>
            <w:tcW w:w="125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518.69 </w:t>
            </w:r>
          </w:p>
        </w:tc>
        <w:tc>
          <w:tcPr>
            <w:tcW w:w="125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142.76 </w:t>
            </w:r>
          </w:p>
        </w:tc>
        <w:tc>
          <w:tcPr>
            <w:tcW w:w="175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51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01"/>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20109</w:t>
            </w:r>
          </w:p>
        </w:tc>
        <w:tc>
          <w:tcPr>
            <w:tcW w:w="427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海关事务</w:t>
            </w:r>
          </w:p>
        </w:tc>
        <w:tc>
          <w:tcPr>
            <w:tcW w:w="175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661.45 </w:t>
            </w:r>
          </w:p>
        </w:tc>
        <w:tc>
          <w:tcPr>
            <w:tcW w:w="125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518.69 </w:t>
            </w:r>
          </w:p>
        </w:tc>
        <w:tc>
          <w:tcPr>
            <w:tcW w:w="125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142.76 </w:t>
            </w:r>
          </w:p>
        </w:tc>
        <w:tc>
          <w:tcPr>
            <w:tcW w:w="175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51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01"/>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2010901</w:t>
            </w:r>
          </w:p>
        </w:tc>
        <w:tc>
          <w:tcPr>
            <w:tcW w:w="427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行政运行</w:t>
            </w:r>
          </w:p>
        </w:tc>
        <w:tc>
          <w:tcPr>
            <w:tcW w:w="175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518.69 </w:t>
            </w:r>
          </w:p>
        </w:tc>
        <w:tc>
          <w:tcPr>
            <w:tcW w:w="125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518.69 </w:t>
            </w: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75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51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01"/>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2010909</w:t>
            </w:r>
          </w:p>
        </w:tc>
        <w:tc>
          <w:tcPr>
            <w:tcW w:w="427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海关关务</w:t>
            </w:r>
          </w:p>
        </w:tc>
        <w:tc>
          <w:tcPr>
            <w:tcW w:w="175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85.08 </w:t>
            </w: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85.08 </w:t>
            </w:r>
          </w:p>
        </w:tc>
        <w:tc>
          <w:tcPr>
            <w:tcW w:w="175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51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01"/>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2010911</w:t>
            </w:r>
          </w:p>
        </w:tc>
        <w:tc>
          <w:tcPr>
            <w:tcW w:w="427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海关监管</w:t>
            </w:r>
          </w:p>
        </w:tc>
        <w:tc>
          <w:tcPr>
            <w:tcW w:w="175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51.08 </w:t>
            </w: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51.08 </w:t>
            </w:r>
          </w:p>
        </w:tc>
        <w:tc>
          <w:tcPr>
            <w:tcW w:w="175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51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01"/>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2010912</w:t>
            </w:r>
          </w:p>
        </w:tc>
        <w:tc>
          <w:tcPr>
            <w:tcW w:w="427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检验检疫</w:t>
            </w:r>
          </w:p>
        </w:tc>
        <w:tc>
          <w:tcPr>
            <w:tcW w:w="175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6.60 </w:t>
            </w: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6.60 </w:t>
            </w:r>
          </w:p>
        </w:tc>
        <w:tc>
          <w:tcPr>
            <w:tcW w:w="175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51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01"/>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208</w:t>
            </w:r>
          </w:p>
        </w:tc>
        <w:tc>
          <w:tcPr>
            <w:tcW w:w="427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社会保障和就业支出</w:t>
            </w:r>
          </w:p>
        </w:tc>
        <w:tc>
          <w:tcPr>
            <w:tcW w:w="175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59.68 </w:t>
            </w:r>
          </w:p>
        </w:tc>
        <w:tc>
          <w:tcPr>
            <w:tcW w:w="125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59.68 </w:t>
            </w: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75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51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01"/>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20805</w:t>
            </w:r>
          </w:p>
        </w:tc>
        <w:tc>
          <w:tcPr>
            <w:tcW w:w="427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行政事业单位养老支出</w:t>
            </w:r>
          </w:p>
        </w:tc>
        <w:tc>
          <w:tcPr>
            <w:tcW w:w="175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59.68 </w:t>
            </w:r>
          </w:p>
        </w:tc>
        <w:tc>
          <w:tcPr>
            <w:tcW w:w="125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59.68 </w:t>
            </w: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75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51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01"/>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2080501</w:t>
            </w:r>
          </w:p>
        </w:tc>
        <w:tc>
          <w:tcPr>
            <w:tcW w:w="427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行政单位离退休</w:t>
            </w:r>
          </w:p>
        </w:tc>
        <w:tc>
          <w:tcPr>
            <w:tcW w:w="175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0.90 </w:t>
            </w:r>
          </w:p>
        </w:tc>
        <w:tc>
          <w:tcPr>
            <w:tcW w:w="125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0.90 </w:t>
            </w: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75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51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01"/>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2080505</w:t>
            </w:r>
          </w:p>
        </w:tc>
        <w:tc>
          <w:tcPr>
            <w:tcW w:w="427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机关事业单位基本养老保险缴费支出</w:t>
            </w:r>
          </w:p>
        </w:tc>
        <w:tc>
          <w:tcPr>
            <w:tcW w:w="175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39.19 </w:t>
            </w:r>
          </w:p>
        </w:tc>
        <w:tc>
          <w:tcPr>
            <w:tcW w:w="125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39.19 </w:t>
            </w: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75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51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01"/>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2080506</w:t>
            </w:r>
          </w:p>
        </w:tc>
        <w:tc>
          <w:tcPr>
            <w:tcW w:w="427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机关事业单位职业年金缴费支出</w:t>
            </w:r>
          </w:p>
        </w:tc>
        <w:tc>
          <w:tcPr>
            <w:tcW w:w="175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19.59 </w:t>
            </w:r>
          </w:p>
        </w:tc>
        <w:tc>
          <w:tcPr>
            <w:tcW w:w="125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19.59 </w:t>
            </w: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75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51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01"/>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210</w:t>
            </w:r>
          </w:p>
        </w:tc>
        <w:tc>
          <w:tcPr>
            <w:tcW w:w="427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卫生健康支出</w:t>
            </w:r>
          </w:p>
        </w:tc>
        <w:tc>
          <w:tcPr>
            <w:tcW w:w="175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33.87 </w:t>
            </w:r>
          </w:p>
        </w:tc>
        <w:tc>
          <w:tcPr>
            <w:tcW w:w="125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33.87 </w:t>
            </w: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75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51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01"/>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21011</w:t>
            </w:r>
          </w:p>
        </w:tc>
        <w:tc>
          <w:tcPr>
            <w:tcW w:w="427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行政事业单位医疗</w:t>
            </w:r>
          </w:p>
        </w:tc>
        <w:tc>
          <w:tcPr>
            <w:tcW w:w="175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33.87 </w:t>
            </w:r>
          </w:p>
        </w:tc>
        <w:tc>
          <w:tcPr>
            <w:tcW w:w="125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33.87 </w:t>
            </w: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75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51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01"/>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2101101</w:t>
            </w:r>
          </w:p>
        </w:tc>
        <w:tc>
          <w:tcPr>
            <w:tcW w:w="427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行政单位医疗</w:t>
            </w:r>
          </w:p>
        </w:tc>
        <w:tc>
          <w:tcPr>
            <w:tcW w:w="175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24.01 </w:t>
            </w:r>
          </w:p>
        </w:tc>
        <w:tc>
          <w:tcPr>
            <w:tcW w:w="125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24.01 </w:t>
            </w: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75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51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01"/>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2101103</w:t>
            </w:r>
          </w:p>
        </w:tc>
        <w:tc>
          <w:tcPr>
            <w:tcW w:w="427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公务员医疗补助</w:t>
            </w:r>
          </w:p>
        </w:tc>
        <w:tc>
          <w:tcPr>
            <w:tcW w:w="175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9.39 </w:t>
            </w:r>
          </w:p>
        </w:tc>
        <w:tc>
          <w:tcPr>
            <w:tcW w:w="125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9.39 </w:t>
            </w: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75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51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01"/>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2101199</w:t>
            </w:r>
          </w:p>
        </w:tc>
        <w:tc>
          <w:tcPr>
            <w:tcW w:w="427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其他行政事业单位医疗支出</w:t>
            </w:r>
          </w:p>
        </w:tc>
        <w:tc>
          <w:tcPr>
            <w:tcW w:w="175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0.47 </w:t>
            </w:r>
          </w:p>
        </w:tc>
        <w:tc>
          <w:tcPr>
            <w:tcW w:w="125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0.47 </w:t>
            </w: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75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51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01"/>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221</w:t>
            </w:r>
          </w:p>
        </w:tc>
        <w:tc>
          <w:tcPr>
            <w:tcW w:w="427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住房保障支出</w:t>
            </w:r>
          </w:p>
        </w:tc>
        <w:tc>
          <w:tcPr>
            <w:tcW w:w="175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78.15 </w:t>
            </w:r>
          </w:p>
        </w:tc>
        <w:tc>
          <w:tcPr>
            <w:tcW w:w="125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78.15 </w:t>
            </w: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75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51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01"/>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22102</w:t>
            </w:r>
          </w:p>
        </w:tc>
        <w:tc>
          <w:tcPr>
            <w:tcW w:w="427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住房改革支出</w:t>
            </w:r>
          </w:p>
        </w:tc>
        <w:tc>
          <w:tcPr>
            <w:tcW w:w="175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78.15 </w:t>
            </w:r>
          </w:p>
        </w:tc>
        <w:tc>
          <w:tcPr>
            <w:tcW w:w="125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78.15 </w:t>
            </w: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75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51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01"/>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2210201</w:t>
            </w:r>
          </w:p>
        </w:tc>
        <w:tc>
          <w:tcPr>
            <w:tcW w:w="427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住房公积金</w:t>
            </w:r>
          </w:p>
        </w:tc>
        <w:tc>
          <w:tcPr>
            <w:tcW w:w="175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43.31 </w:t>
            </w:r>
          </w:p>
        </w:tc>
        <w:tc>
          <w:tcPr>
            <w:tcW w:w="125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43.31 </w:t>
            </w: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75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51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01"/>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2210203</w:t>
            </w:r>
          </w:p>
        </w:tc>
        <w:tc>
          <w:tcPr>
            <w:tcW w:w="427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购房补贴</w:t>
            </w:r>
          </w:p>
        </w:tc>
        <w:tc>
          <w:tcPr>
            <w:tcW w:w="175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34.84 </w:t>
            </w:r>
          </w:p>
        </w:tc>
        <w:tc>
          <w:tcPr>
            <w:tcW w:w="125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34.84 </w:t>
            </w: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75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51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01"/>
        </w:trPr>
        <w:tc>
          <w:tcPr>
            <w:tcW w:w="15174" w:type="dxa"/>
            <w:gridSpan w:val="10"/>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注：本表反映部门本年度各项支出情况。</w:t>
            </w:r>
          </w:p>
        </w:tc>
      </w:tr>
    </w:tbl>
    <w:p>
      <w:pPr>
        <w:spacing w:line="560" w:lineRule="exact"/>
      </w:pPr>
    </w:p>
    <w:p>
      <w:pPr>
        <w:spacing w:line="560" w:lineRule="exact"/>
      </w:pPr>
    </w:p>
    <w:p>
      <w:pPr>
        <w:spacing w:line="560" w:lineRule="exact"/>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tbl>
      <w:tblPr>
        <w:tblpPr w:leftFromText="180" w:rightFromText="180" w:vertAnchor="text" w:horzAnchor="page" w:tblpX="1477" w:tblpY="107"/>
        <w:tblOverlap w:val="never"/>
        <w:tblW w:w="14940"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3951"/>
        <w:gridCol w:w="531"/>
        <w:gridCol w:w="882"/>
        <w:gridCol w:w="2248"/>
        <w:gridCol w:w="834"/>
        <w:gridCol w:w="1282"/>
        <w:gridCol w:w="1540"/>
        <w:gridCol w:w="1519"/>
        <w:gridCol w:w="2153"/>
      </w:tblGrid>
      <w:tr>
        <w:trPr>
          <w:trHeight w:val="510"/>
        </w:trPr>
        <w:tc>
          <w:tcPr>
            <w:tcW w:w="14940" w:type="dxa"/>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44"/>
                <w:szCs w:val="44"/>
                <w:u w:val="none"/>
              </w:rPr>
            </w:pPr>
            <w:r>
              <w:rPr>
                <w:rFonts w:ascii="宋体" w:eastAsia="宋体" w:cs="宋体" w:hint="eastAsia"/>
                <w:i w:val="0"/>
                <w:iCs w:val="0"/>
                <w:color w:val="000000"/>
                <w:kern w:val="0"/>
                <w:sz w:val="44"/>
                <w:szCs w:val="44"/>
                <w:u w:val="none"/>
                <w:lang w:val="en-US" w:eastAsia="zh-CN"/>
              </w:rPr>
              <w:t>财政拨款收入支出决算总表</w:t>
            </w:r>
          </w:p>
        </w:tc>
      </w:tr>
      <w:tr>
        <w:trPr>
          <w:trHeight w:val="278"/>
        </w:trPr>
        <w:tc>
          <w:tcPr>
            <w:tcW w:w="4482" w:type="dxa"/>
            <w:gridSpan w:val="2"/>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88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224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83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28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54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51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2153"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公开04表</w:t>
            </w:r>
          </w:p>
        </w:tc>
      </w:tr>
      <w:tr>
        <w:trPr>
          <w:trHeight w:val="556"/>
        </w:trPr>
        <w:tc>
          <w:tcPr>
            <w:tcW w:w="3951"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部门：中华人民共和国额布都格海关</w:t>
            </w:r>
          </w:p>
        </w:tc>
        <w:tc>
          <w:tcPr>
            <w:tcW w:w="53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88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224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834" w:type="dxa"/>
            <w:tcBorders>
              <w:top w:val="nil"/>
              <w:left w:val="nil"/>
              <w:bottom w:val="nil"/>
              <w:right w:val="nil"/>
            </w:tcBorders>
            <w:shd w:val="clear" w:color="auto" w:fill="auto"/>
            <w:noWrap/>
            <w:vAlign w:val="center"/>
          </w:tcPr>
          <w:p>
            <w:pPr>
              <w:jc w:val="center"/>
              <w:rPr>
                <w:rFonts w:ascii="宋体" w:eastAsia="宋体" w:cs="宋体" w:hint="eastAsia"/>
                <w:i w:val="0"/>
                <w:iCs w:val="0"/>
                <w:color w:val="000000"/>
                <w:sz w:val="24"/>
                <w:szCs w:val="24"/>
                <w:u w:val="none"/>
              </w:rPr>
            </w:pPr>
          </w:p>
        </w:tc>
        <w:tc>
          <w:tcPr>
            <w:tcW w:w="128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54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51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2153"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单位：万元</w:t>
            </w:r>
          </w:p>
        </w:tc>
      </w:tr>
      <w:tr>
        <w:trPr>
          <w:trHeight w:val="264"/>
        </w:trPr>
        <w:tc>
          <w:tcPr>
            <w:tcW w:w="536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收入</w:t>
            </w:r>
          </w:p>
        </w:tc>
        <w:tc>
          <w:tcPr>
            <w:tcW w:w="9576" w:type="dxa"/>
            <w:gridSpan w:val="6"/>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支出</w:t>
            </w:r>
          </w:p>
        </w:tc>
      </w:tr>
      <w:tr>
        <w:trPr>
          <w:trHeight w:val="1284"/>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项目 </w:t>
            </w: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行次</w:t>
            </w:r>
          </w:p>
        </w:tc>
        <w:tc>
          <w:tcPr>
            <w:tcW w:w="88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金额</w:t>
            </w:r>
          </w:p>
        </w:tc>
        <w:tc>
          <w:tcPr>
            <w:tcW w:w="224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w:t>
            </w: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行次</w:t>
            </w:r>
          </w:p>
        </w:tc>
        <w:tc>
          <w:tcPr>
            <w:tcW w:w="128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合计</w:t>
            </w:r>
          </w:p>
        </w:tc>
        <w:tc>
          <w:tcPr>
            <w:tcW w:w="154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一般公共预算财政拨款</w:t>
            </w:r>
          </w:p>
        </w:tc>
        <w:tc>
          <w:tcPr>
            <w:tcW w:w="151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政府性基金预算财政拨款</w:t>
            </w:r>
          </w:p>
        </w:tc>
        <w:tc>
          <w:tcPr>
            <w:tcW w:w="215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国有资本经营预算财政拨款</w:t>
            </w:r>
          </w:p>
        </w:tc>
      </w:tr>
      <w:tr>
        <w:trPr>
          <w:trHeight w:val="287"/>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栏次</w:t>
            </w:r>
          </w:p>
        </w:tc>
        <w:tc>
          <w:tcPr>
            <w:tcW w:w="531"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2"/>
                <w:szCs w:val="22"/>
                <w:u w:val="none"/>
              </w:rPr>
            </w:pPr>
          </w:p>
        </w:tc>
        <w:tc>
          <w:tcPr>
            <w:tcW w:w="88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w:t>
            </w:r>
          </w:p>
        </w:tc>
        <w:tc>
          <w:tcPr>
            <w:tcW w:w="224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栏次</w:t>
            </w:r>
          </w:p>
        </w:tc>
        <w:tc>
          <w:tcPr>
            <w:tcW w:w="834"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2"/>
                <w:szCs w:val="22"/>
                <w:u w:val="none"/>
              </w:rPr>
            </w:pPr>
          </w:p>
        </w:tc>
        <w:tc>
          <w:tcPr>
            <w:tcW w:w="128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w:t>
            </w:r>
          </w:p>
        </w:tc>
        <w:tc>
          <w:tcPr>
            <w:tcW w:w="154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w:t>
            </w:r>
          </w:p>
        </w:tc>
        <w:tc>
          <w:tcPr>
            <w:tcW w:w="151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w:t>
            </w:r>
          </w:p>
        </w:tc>
        <w:tc>
          <w:tcPr>
            <w:tcW w:w="215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w:t>
            </w:r>
          </w:p>
        </w:tc>
      </w:tr>
      <w:tr>
        <w:trPr>
          <w:trHeight w:val="519"/>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一、一般公共预算财政拨款 </w:t>
            </w: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w:t>
            </w:r>
          </w:p>
        </w:tc>
        <w:tc>
          <w:tcPr>
            <w:tcW w:w="88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849.78</w:t>
            </w:r>
          </w:p>
        </w:tc>
        <w:tc>
          <w:tcPr>
            <w:tcW w:w="224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一、一般公共服务支出</w:t>
            </w: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33</w:t>
            </w:r>
          </w:p>
        </w:tc>
        <w:tc>
          <w:tcPr>
            <w:tcW w:w="128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661.45</w:t>
            </w:r>
          </w:p>
        </w:tc>
        <w:tc>
          <w:tcPr>
            <w:tcW w:w="154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661.45</w:t>
            </w:r>
          </w:p>
        </w:tc>
        <w:tc>
          <w:tcPr>
            <w:tcW w:w="151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15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519"/>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二、政府性基金预算财政拨款</w:t>
            </w: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w:t>
            </w:r>
          </w:p>
        </w:tc>
        <w:tc>
          <w:tcPr>
            <w:tcW w:w="8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c>
          <w:tcPr>
            <w:tcW w:w="224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二、外交支出</w:t>
            </w: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34</w:t>
            </w:r>
          </w:p>
        </w:tc>
        <w:tc>
          <w:tcPr>
            <w:tcW w:w="12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c>
          <w:tcPr>
            <w:tcW w:w="1540"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c>
          <w:tcPr>
            <w:tcW w:w="151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15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519"/>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三、国有资本经营预算财政拨款</w:t>
            </w: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w:t>
            </w:r>
          </w:p>
        </w:tc>
        <w:tc>
          <w:tcPr>
            <w:tcW w:w="8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c>
          <w:tcPr>
            <w:tcW w:w="224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三、国防支出</w:t>
            </w: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35</w:t>
            </w:r>
          </w:p>
        </w:tc>
        <w:tc>
          <w:tcPr>
            <w:tcW w:w="12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c>
          <w:tcPr>
            <w:tcW w:w="1540"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c>
          <w:tcPr>
            <w:tcW w:w="151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15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287"/>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2"/>
                <w:szCs w:val="22"/>
                <w:u w:val="none"/>
              </w:rPr>
            </w:pP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w:t>
            </w:r>
          </w:p>
        </w:tc>
        <w:tc>
          <w:tcPr>
            <w:tcW w:w="8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c>
          <w:tcPr>
            <w:tcW w:w="224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四、公共安全支出</w:t>
            </w: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36</w:t>
            </w:r>
          </w:p>
        </w:tc>
        <w:tc>
          <w:tcPr>
            <w:tcW w:w="12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c>
          <w:tcPr>
            <w:tcW w:w="1540"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c>
          <w:tcPr>
            <w:tcW w:w="151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15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287"/>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2"/>
                <w:szCs w:val="22"/>
                <w:u w:val="none"/>
              </w:rPr>
            </w:pP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c>
          <w:tcPr>
            <w:tcW w:w="8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c>
          <w:tcPr>
            <w:tcW w:w="224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五、教育支出</w:t>
            </w: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37</w:t>
            </w:r>
          </w:p>
        </w:tc>
        <w:tc>
          <w:tcPr>
            <w:tcW w:w="12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c>
          <w:tcPr>
            <w:tcW w:w="1540"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c>
          <w:tcPr>
            <w:tcW w:w="151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15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287"/>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2"/>
                <w:szCs w:val="22"/>
                <w:u w:val="none"/>
              </w:rPr>
            </w:pP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w:t>
            </w:r>
          </w:p>
        </w:tc>
        <w:tc>
          <w:tcPr>
            <w:tcW w:w="8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c>
          <w:tcPr>
            <w:tcW w:w="224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六、科学技术支出</w:t>
            </w: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38</w:t>
            </w:r>
          </w:p>
        </w:tc>
        <w:tc>
          <w:tcPr>
            <w:tcW w:w="12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c>
          <w:tcPr>
            <w:tcW w:w="1540"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c>
          <w:tcPr>
            <w:tcW w:w="151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15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519"/>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2"/>
                <w:szCs w:val="22"/>
                <w:u w:val="none"/>
              </w:rPr>
            </w:pP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7</w:t>
            </w:r>
          </w:p>
        </w:tc>
        <w:tc>
          <w:tcPr>
            <w:tcW w:w="8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c>
          <w:tcPr>
            <w:tcW w:w="224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七、文化旅游体育与传媒支出</w:t>
            </w: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39</w:t>
            </w:r>
          </w:p>
        </w:tc>
        <w:tc>
          <w:tcPr>
            <w:tcW w:w="12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c>
          <w:tcPr>
            <w:tcW w:w="1540"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c>
          <w:tcPr>
            <w:tcW w:w="151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15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519"/>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2"/>
                <w:szCs w:val="22"/>
                <w:u w:val="none"/>
              </w:rPr>
            </w:pP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w:t>
            </w:r>
          </w:p>
        </w:tc>
        <w:tc>
          <w:tcPr>
            <w:tcW w:w="8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c>
          <w:tcPr>
            <w:tcW w:w="224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八、社会保障和就业支出</w:t>
            </w: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c>
          <w:tcPr>
            <w:tcW w:w="128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59.68</w:t>
            </w:r>
          </w:p>
        </w:tc>
        <w:tc>
          <w:tcPr>
            <w:tcW w:w="154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59.68</w:t>
            </w:r>
          </w:p>
        </w:tc>
        <w:tc>
          <w:tcPr>
            <w:tcW w:w="151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15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287"/>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2"/>
                <w:szCs w:val="22"/>
                <w:u w:val="none"/>
              </w:rPr>
            </w:pP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w:t>
            </w:r>
          </w:p>
        </w:tc>
        <w:tc>
          <w:tcPr>
            <w:tcW w:w="8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c>
          <w:tcPr>
            <w:tcW w:w="224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九、卫生健康支出</w:t>
            </w: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41</w:t>
            </w:r>
          </w:p>
        </w:tc>
        <w:tc>
          <w:tcPr>
            <w:tcW w:w="128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33.87</w:t>
            </w:r>
          </w:p>
        </w:tc>
        <w:tc>
          <w:tcPr>
            <w:tcW w:w="154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33.87</w:t>
            </w:r>
          </w:p>
        </w:tc>
        <w:tc>
          <w:tcPr>
            <w:tcW w:w="151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15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287"/>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10</w:t>
            </w:r>
          </w:p>
        </w:tc>
        <w:tc>
          <w:tcPr>
            <w:tcW w:w="8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24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十、节能环保支出</w:t>
            </w: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42</w:t>
            </w:r>
          </w:p>
        </w:tc>
        <w:tc>
          <w:tcPr>
            <w:tcW w:w="12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40"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1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215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287"/>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11</w:t>
            </w:r>
          </w:p>
        </w:tc>
        <w:tc>
          <w:tcPr>
            <w:tcW w:w="8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24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十一、城乡社区支出</w:t>
            </w: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43</w:t>
            </w:r>
          </w:p>
        </w:tc>
        <w:tc>
          <w:tcPr>
            <w:tcW w:w="12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40"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1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215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287"/>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12</w:t>
            </w:r>
          </w:p>
        </w:tc>
        <w:tc>
          <w:tcPr>
            <w:tcW w:w="8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24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十二、农林水支出</w:t>
            </w: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44</w:t>
            </w:r>
          </w:p>
        </w:tc>
        <w:tc>
          <w:tcPr>
            <w:tcW w:w="12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40"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1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215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287"/>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13</w:t>
            </w:r>
          </w:p>
        </w:tc>
        <w:tc>
          <w:tcPr>
            <w:tcW w:w="8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24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十三、交通运输支出</w:t>
            </w: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45</w:t>
            </w:r>
          </w:p>
        </w:tc>
        <w:tc>
          <w:tcPr>
            <w:tcW w:w="12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40"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1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215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519"/>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14</w:t>
            </w:r>
          </w:p>
        </w:tc>
        <w:tc>
          <w:tcPr>
            <w:tcW w:w="8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24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十四、资源勘探工业信息等支出</w:t>
            </w: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46</w:t>
            </w:r>
          </w:p>
        </w:tc>
        <w:tc>
          <w:tcPr>
            <w:tcW w:w="12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40"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1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215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519"/>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15</w:t>
            </w:r>
          </w:p>
        </w:tc>
        <w:tc>
          <w:tcPr>
            <w:tcW w:w="8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24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十五、商业服务业等支出</w:t>
            </w: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47</w:t>
            </w:r>
          </w:p>
        </w:tc>
        <w:tc>
          <w:tcPr>
            <w:tcW w:w="12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40"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1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215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287"/>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16</w:t>
            </w:r>
          </w:p>
        </w:tc>
        <w:tc>
          <w:tcPr>
            <w:tcW w:w="8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24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十六、金融支出</w:t>
            </w: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48</w:t>
            </w:r>
          </w:p>
        </w:tc>
        <w:tc>
          <w:tcPr>
            <w:tcW w:w="12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40"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1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215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519"/>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17</w:t>
            </w:r>
          </w:p>
        </w:tc>
        <w:tc>
          <w:tcPr>
            <w:tcW w:w="8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24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十七、援助其他地区支出</w:t>
            </w: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49</w:t>
            </w:r>
          </w:p>
        </w:tc>
        <w:tc>
          <w:tcPr>
            <w:tcW w:w="12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40"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1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215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519"/>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18</w:t>
            </w:r>
          </w:p>
        </w:tc>
        <w:tc>
          <w:tcPr>
            <w:tcW w:w="8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24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十八、自然资源海洋气象等支出</w:t>
            </w: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50</w:t>
            </w:r>
          </w:p>
        </w:tc>
        <w:tc>
          <w:tcPr>
            <w:tcW w:w="12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40"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1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215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565"/>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19</w:t>
            </w:r>
          </w:p>
        </w:tc>
        <w:tc>
          <w:tcPr>
            <w:tcW w:w="8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24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十九、住房保障支出</w:t>
            </w: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51</w:t>
            </w:r>
          </w:p>
        </w:tc>
        <w:tc>
          <w:tcPr>
            <w:tcW w:w="128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78.15</w:t>
            </w:r>
          </w:p>
        </w:tc>
        <w:tc>
          <w:tcPr>
            <w:tcW w:w="154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78.15</w:t>
            </w:r>
          </w:p>
        </w:tc>
        <w:tc>
          <w:tcPr>
            <w:tcW w:w="151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215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519"/>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w:t>
            </w:r>
          </w:p>
        </w:tc>
        <w:tc>
          <w:tcPr>
            <w:tcW w:w="8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24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二十、粮油物资储备支出</w:t>
            </w: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52</w:t>
            </w:r>
          </w:p>
        </w:tc>
        <w:tc>
          <w:tcPr>
            <w:tcW w:w="12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40"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1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215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519"/>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21</w:t>
            </w:r>
          </w:p>
        </w:tc>
        <w:tc>
          <w:tcPr>
            <w:tcW w:w="8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24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二十一、国有资本经营预算支出</w:t>
            </w: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53</w:t>
            </w:r>
          </w:p>
        </w:tc>
        <w:tc>
          <w:tcPr>
            <w:tcW w:w="12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40"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1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215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519"/>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22</w:t>
            </w:r>
          </w:p>
        </w:tc>
        <w:tc>
          <w:tcPr>
            <w:tcW w:w="8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24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二十二、灾害防治及应急管理支出</w:t>
            </w: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54</w:t>
            </w:r>
          </w:p>
        </w:tc>
        <w:tc>
          <w:tcPr>
            <w:tcW w:w="12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40"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1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215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287"/>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23</w:t>
            </w:r>
          </w:p>
        </w:tc>
        <w:tc>
          <w:tcPr>
            <w:tcW w:w="8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24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二十三、其他支出</w:t>
            </w: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55</w:t>
            </w:r>
          </w:p>
        </w:tc>
        <w:tc>
          <w:tcPr>
            <w:tcW w:w="12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40"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1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215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287"/>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24</w:t>
            </w:r>
          </w:p>
        </w:tc>
        <w:tc>
          <w:tcPr>
            <w:tcW w:w="8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24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二十四、债务还本支出</w:t>
            </w: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56</w:t>
            </w:r>
          </w:p>
        </w:tc>
        <w:tc>
          <w:tcPr>
            <w:tcW w:w="12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40"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1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215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287"/>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25</w:t>
            </w:r>
          </w:p>
        </w:tc>
        <w:tc>
          <w:tcPr>
            <w:tcW w:w="8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24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二十五、债务付息支出</w:t>
            </w: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57</w:t>
            </w:r>
          </w:p>
        </w:tc>
        <w:tc>
          <w:tcPr>
            <w:tcW w:w="12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40"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1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215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519"/>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26</w:t>
            </w:r>
          </w:p>
        </w:tc>
        <w:tc>
          <w:tcPr>
            <w:tcW w:w="8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24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二十六、抗疫特别国债安排的支出</w:t>
            </w: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58</w:t>
            </w:r>
          </w:p>
        </w:tc>
        <w:tc>
          <w:tcPr>
            <w:tcW w:w="12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40"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1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215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287"/>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本年收入合计</w:t>
            </w: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27</w:t>
            </w:r>
          </w:p>
        </w:tc>
        <w:tc>
          <w:tcPr>
            <w:tcW w:w="88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849.78</w:t>
            </w:r>
          </w:p>
        </w:tc>
        <w:tc>
          <w:tcPr>
            <w:tcW w:w="224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本年支出合计</w:t>
            </w: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59</w:t>
            </w:r>
          </w:p>
        </w:tc>
        <w:tc>
          <w:tcPr>
            <w:tcW w:w="128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833.15</w:t>
            </w:r>
          </w:p>
        </w:tc>
        <w:tc>
          <w:tcPr>
            <w:tcW w:w="154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833.15</w:t>
            </w:r>
          </w:p>
        </w:tc>
        <w:tc>
          <w:tcPr>
            <w:tcW w:w="151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15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519"/>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年初财政拨款结转和结余 </w:t>
            </w: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28</w:t>
            </w:r>
          </w:p>
        </w:tc>
        <w:tc>
          <w:tcPr>
            <w:tcW w:w="8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c>
          <w:tcPr>
            <w:tcW w:w="224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年末财政拨款结转和结余 </w:t>
            </w: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60</w:t>
            </w:r>
          </w:p>
        </w:tc>
        <w:tc>
          <w:tcPr>
            <w:tcW w:w="128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16.63</w:t>
            </w:r>
          </w:p>
        </w:tc>
        <w:tc>
          <w:tcPr>
            <w:tcW w:w="154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16.63</w:t>
            </w:r>
          </w:p>
        </w:tc>
        <w:tc>
          <w:tcPr>
            <w:tcW w:w="151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15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519"/>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一般公共预算财政拨款</w:t>
            </w: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29</w:t>
            </w:r>
          </w:p>
        </w:tc>
        <w:tc>
          <w:tcPr>
            <w:tcW w:w="8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c>
          <w:tcPr>
            <w:tcW w:w="2248"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2"/>
                <w:szCs w:val="22"/>
                <w:u w:val="none"/>
              </w:rPr>
            </w:pP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61</w:t>
            </w:r>
          </w:p>
        </w:tc>
        <w:tc>
          <w:tcPr>
            <w:tcW w:w="12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c>
          <w:tcPr>
            <w:tcW w:w="1540"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c>
          <w:tcPr>
            <w:tcW w:w="151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153"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r>
      <w:tr>
        <w:trPr>
          <w:trHeight w:val="519"/>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政府性基金预算财政拨款</w:t>
            </w: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c>
          <w:tcPr>
            <w:tcW w:w="8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c>
          <w:tcPr>
            <w:tcW w:w="2248"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2"/>
                <w:szCs w:val="22"/>
                <w:u w:val="none"/>
              </w:rPr>
            </w:pP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62</w:t>
            </w:r>
          </w:p>
        </w:tc>
        <w:tc>
          <w:tcPr>
            <w:tcW w:w="12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c>
          <w:tcPr>
            <w:tcW w:w="1540"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c>
          <w:tcPr>
            <w:tcW w:w="151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153"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r>
      <w:tr>
        <w:trPr>
          <w:trHeight w:val="565"/>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 xml:space="preserve">  国有资本经营预算财政拨款</w:t>
            </w: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31</w:t>
            </w:r>
          </w:p>
        </w:tc>
        <w:tc>
          <w:tcPr>
            <w:tcW w:w="8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248"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63</w:t>
            </w:r>
          </w:p>
        </w:tc>
        <w:tc>
          <w:tcPr>
            <w:tcW w:w="1282"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40"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519"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2153"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r>
      <w:tr>
        <w:trPr>
          <w:trHeight w:val="519"/>
        </w:trPr>
        <w:tc>
          <w:tcPr>
            <w:tcW w:w="3951"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总计 </w:t>
            </w:r>
          </w:p>
        </w:tc>
        <w:tc>
          <w:tcPr>
            <w:tcW w:w="53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32</w:t>
            </w:r>
          </w:p>
        </w:tc>
        <w:tc>
          <w:tcPr>
            <w:tcW w:w="88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849.78</w:t>
            </w:r>
          </w:p>
        </w:tc>
        <w:tc>
          <w:tcPr>
            <w:tcW w:w="224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总计 </w:t>
            </w:r>
          </w:p>
        </w:tc>
        <w:tc>
          <w:tcPr>
            <w:tcW w:w="8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64</w:t>
            </w:r>
          </w:p>
        </w:tc>
        <w:tc>
          <w:tcPr>
            <w:tcW w:w="128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849.78</w:t>
            </w:r>
          </w:p>
        </w:tc>
        <w:tc>
          <w:tcPr>
            <w:tcW w:w="154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849.78</w:t>
            </w:r>
          </w:p>
        </w:tc>
        <w:tc>
          <w:tcPr>
            <w:tcW w:w="151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15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264"/>
        </w:trPr>
        <w:tc>
          <w:tcPr>
            <w:tcW w:w="14940" w:type="dxa"/>
            <w:gridSpan w:val="9"/>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注：本表反映部门本年度一般公共预算财政拨款、政府性基金预算财政拨款和国有资本经营预算财政拨款的总收支和年末结转结余情况。</w:t>
            </w:r>
          </w:p>
        </w:tc>
      </w:tr>
    </w:tbl>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tbl>
      <w:tblPr>
        <w:tblpPr w:leftFromText="180" w:rightFromText="180" w:vertAnchor="text" w:horzAnchor="page" w:tblpX="1489" w:tblpY="79"/>
        <w:tblOverlap w:val="never"/>
        <w:tblW w:w="14964"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365"/>
        <w:gridCol w:w="365"/>
        <w:gridCol w:w="366"/>
        <w:gridCol w:w="4844"/>
        <w:gridCol w:w="1235"/>
        <w:gridCol w:w="3765"/>
        <w:gridCol w:w="4024"/>
      </w:tblGrid>
      <w:tr>
        <w:trPr>
          <w:trHeight w:val="564"/>
        </w:trPr>
        <w:tc>
          <w:tcPr>
            <w:tcW w:w="14964"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44"/>
                <w:szCs w:val="44"/>
                <w:u w:val="none"/>
              </w:rPr>
            </w:pPr>
            <w:r>
              <w:rPr>
                <w:rFonts w:ascii="宋体" w:eastAsia="宋体" w:cs="宋体" w:hint="eastAsia"/>
                <w:i w:val="0"/>
                <w:iCs w:val="0"/>
                <w:color w:val="000000"/>
                <w:kern w:val="0"/>
                <w:sz w:val="44"/>
                <w:szCs w:val="44"/>
                <w:u w:val="none"/>
                <w:lang w:val="en-US" w:eastAsia="zh-CN"/>
              </w:rPr>
              <w:t>一般公共预算财政拨款支出决算表</w:t>
            </w:r>
          </w:p>
        </w:tc>
      </w:tr>
      <w:tr>
        <w:trPr>
          <w:trHeight w:val="312"/>
        </w:trPr>
        <w:tc>
          <w:tcPr>
            <w:tcW w:w="36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36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36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484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23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376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4024"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公开05表</w:t>
            </w:r>
          </w:p>
        </w:tc>
      </w:tr>
      <w:tr>
        <w:trPr>
          <w:trHeight w:val="453"/>
        </w:trPr>
        <w:tc>
          <w:tcPr>
            <w:tcW w:w="7175"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部门：中华人民共和国额布都格海关</w:t>
            </w:r>
          </w:p>
        </w:tc>
        <w:tc>
          <w:tcPr>
            <w:tcW w:w="3765" w:type="dxa"/>
            <w:tcBorders>
              <w:top w:val="nil"/>
              <w:left w:val="nil"/>
              <w:bottom w:val="nil"/>
              <w:right w:val="nil"/>
            </w:tcBorders>
            <w:shd w:val="clear" w:color="auto" w:fill="auto"/>
            <w:noWrap/>
            <w:vAlign w:val="center"/>
          </w:tcPr>
          <w:p>
            <w:pPr>
              <w:jc w:val="center"/>
              <w:rPr>
                <w:rFonts w:ascii="宋体" w:eastAsia="宋体" w:cs="宋体" w:hint="eastAsia"/>
                <w:i w:val="0"/>
                <w:iCs w:val="0"/>
                <w:color w:val="000000"/>
                <w:sz w:val="24"/>
                <w:szCs w:val="24"/>
                <w:u w:val="none"/>
              </w:rPr>
            </w:pPr>
          </w:p>
        </w:tc>
        <w:tc>
          <w:tcPr>
            <w:tcW w:w="4024"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单位：万元</w:t>
            </w:r>
          </w:p>
        </w:tc>
      </w:tr>
      <w:tr>
        <w:trPr>
          <w:trHeight w:val="502"/>
        </w:trPr>
        <w:tc>
          <w:tcPr>
            <w:tcW w:w="594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w:t>
            </w:r>
          </w:p>
        </w:tc>
        <w:tc>
          <w:tcPr>
            <w:tcW w:w="9024" w:type="dxa"/>
            <w:gridSpan w:val="3"/>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本年支出</w:t>
            </w:r>
          </w:p>
        </w:tc>
      </w:tr>
      <w:tr>
        <w:trPr>
          <w:trHeight w:val="288"/>
        </w:trPr>
        <w:tc>
          <w:tcPr>
            <w:tcW w:w="1096" w:type="dxa"/>
            <w:gridSpan w:val="3"/>
            <w:vMerge w:val="restar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科目代码</w:t>
            </w:r>
          </w:p>
        </w:tc>
        <w:tc>
          <w:tcPr>
            <w:tcW w:w="4844"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科目名称</w:t>
            </w:r>
          </w:p>
        </w:tc>
        <w:tc>
          <w:tcPr>
            <w:tcW w:w="1235"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小计</w:t>
            </w:r>
          </w:p>
        </w:tc>
        <w:tc>
          <w:tcPr>
            <w:tcW w:w="3765"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基本支出</w:t>
            </w:r>
          </w:p>
        </w:tc>
        <w:tc>
          <w:tcPr>
            <w:tcW w:w="4024"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项目支出</w:t>
            </w:r>
          </w:p>
        </w:tc>
      </w:tr>
      <w:tr>
        <w:trPr>
          <w:trHeight w:val="288"/>
        </w:trPr>
        <w:tc>
          <w:tcPr>
            <w:tcW w:w="1096" w:type="dxa"/>
            <w:gridSpan w:val="3"/>
            <w:vMerge/>
            <w:tcBorders>
              <w:top w:val="nil"/>
              <w:left w:val="single" w:sz="4" w:space="0" w:color="000000"/>
              <w:bottom w:val="single" w:sz="4" w:space="0" w:color="000000"/>
              <w:right w:val="single" w:sz="4" w:space="0" w:color="000000"/>
            </w:tcBorders>
            <w:shd w:val="clear" w:color="auto" w:fill="auto"/>
            <w:noWrap/>
            <w:vAlign w:val="center"/>
          </w:tcPr>
          <w:p/>
        </w:tc>
        <w:tc>
          <w:tcPr>
            <w:tcW w:w="4844" w:type="dxa"/>
            <w:vMerge/>
            <w:tcBorders>
              <w:top w:val="nil"/>
              <w:left w:val="nil"/>
              <w:bottom w:val="single" w:sz="4" w:space="0" w:color="000000"/>
              <w:right w:val="single" w:sz="4" w:space="0" w:color="000000"/>
            </w:tcBorders>
            <w:shd w:val="clear" w:color="auto" w:fill="auto"/>
            <w:noWrap/>
            <w:vAlign w:val="center"/>
          </w:tcPr>
          <w:p/>
        </w:tc>
        <w:tc>
          <w:tcPr>
            <w:tcW w:w="1235" w:type="dxa"/>
            <w:vMerge/>
            <w:tcBorders>
              <w:top w:val="nil"/>
              <w:left w:val="nil"/>
              <w:bottom w:val="single" w:sz="4" w:space="0" w:color="000000"/>
              <w:right w:val="single" w:sz="4" w:space="0" w:color="000000"/>
            </w:tcBorders>
            <w:shd w:val="clear" w:color="auto" w:fill="auto"/>
            <w:noWrap/>
            <w:vAlign w:val="center"/>
          </w:tcPr>
          <w:p/>
        </w:tc>
        <w:tc>
          <w:tcPr>
            <w:tcW w:w="3765" w:type="dxa"/>
            <w:vMerge/>
            <w:tcBorders>
              <w:top w:val="nil"/>
              <w:left w:val="nil"/>
              <w:bottom w:val="single" w:sz="4" w:space="0" w:color="000000"/>
              <w:right w:val="single" w:sz="4" w:space="0" w:color="000000"/>
            </w:tcBorders>
            <w:shd w:val="clear" w:color="auto" w:fill="auto"/>
            <w:noWrap/>
            <w:vAlign w:val="center"/>
          </w:tcPr>
          <w:p/>
        </w:tc>
        <w:tc>
          <w:tcPr>
            <w:tcW w:w="4024" w:type="dxa"/>
            <w:vMerge/>
            <w:tcBorders>
              <w:top w:val="nil"/>
              <w:left w:val="nil"/>
              <w:bottom w:val="single" w:sz="4" w:space="0" w:color="000000"/>
              <w:right w:val="single" w:sz="4" w:space="0" w:color="000000"/>
            </w:tcBorders>
            <w:shd w:val="clear" w:color="auto" w:fill="auto"/>
            <w:noWrap/>
            <w:vAlign w:val="center"/>
          </w:tcPr>
          <w:p/>
        </w:tc>
      </w:tr>
      <w:tr>
        <w:trPr>
          <w:trHeight w:val="508"/>
        </w:trPr>
        <w:tc>
          <w:tcPr>
            <w:tcW w:w="5940" w:type="dxa"/>
            <w:gridSpan w:val="4"/>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栏次</w:t>
            </w:r>
          </w:p>
        </w:tc>
        <w:tc>
          <w:tcPr>
            <w:tcW w:w="123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w:t>
            </w:r>
          </w:p>
        </w:tc>
        <w:tc>
          <w:tcPr>
            <w:tcW w:w="376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w:t>
            </w:r>
          </w:p>
        </w:tc>
        <w:tc>
          <w:tcPr>
            <w:tcW w:w="402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w:t>
            </w:r>
          </w:p>
        </w:tc>
      </w:tr>
      <w:tr>
        <w:trPr>
          <w:trHeight w:val="594"/>
        </w:trPr>
        <w:tc>
          <w:tcPr>
            <w:tcW w:w="5940" w:type="dxa"/>
            <w:gridSpan w:val="4"/>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合计</w:t>
            </w:r>
          </w:p>
        </w:tc>
        <w:tc>
          <w:tcPr>
            <w:tcW w:w="123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833.15</w:t>
            </w:r>
          </w:p>
        </w:tc>
        <w:tc>
          <w:tcPr>
            <w:tcW w:w="376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690.39</w:t>
            </w:r>
          </w:p>
        </w:tc>
        <w:tc>
          <w:tcPr>
            <w:tcW w:w="402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142.76</w:t>
            </w:r>
          </w:p>
        </w:tc>
      </w:tr>
      <w:tr>
        <w:trPr>
          <w:trHeight w:val="524"/>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201</w:t>
            </w:r>
          </w:p>
        </w:tc>
        <w:tc>
          <w:tcPr>
            <w:tcW w:w="484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一般公共服务支出</w:t>
            </w:r>
          </w:p>
        </w:tc>
        <w:tc>
          <w:tcPr>
            <w:tcW w:w="123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661.45 </w:t>
            </w:r>
          </w:p>
        </w:tc>
        <w:tc>
          <w:tcPr>
            <w:tcW w:w="376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518.69 </w:t>
            </w:r>
          </w:p>
        </w:tc>
        <w:tc>
          <w:tcPr>
            <w:tcW w:w="402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142.76 </w:t>
            </w:r>
          </w:p>
        </w:tc>
      </w:tr>
      <w:tr>
        <w:trPr>
          <w:trHeight w:val="512"/>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20109</w:t>
            </w:r>
          </w:p>
        </w:tc>
        <w:tc>
          <w:tcPr>
            <w:tcW w:w="484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海关事务</w:t>
            </w:r>
          </w:p>
        </w:tc>
        <w:tc>
          <w:tcPr>
            <w:tcW w:w="123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661.45 </w:t>
            </w:r>
          </w:p>
        </w:tc>
        <w:tc>
          <w:tcPr>
            <w:tcW w:w="376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518.69 </w:t>
            </w:r>
          </w:p>
        </w:tc>
        <w:tc>
          <w:tcPr>
            <w:tcW w:w="402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142.76 </w:t>
            </w:r>
          </w:p>
        </w:tc>
      </w:tr>
      <w:tr>
        <w:trPr>
          <w:trHeight w:val="500"/>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2010901</w:t>
            </w:r>
          </w:p>
        </w:tc>
        <w:tc>
          <w:tcPr>
            <w:tcW w:w="484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行政运行</w:t>
            </w:r>
          </w:p>
        </w:tc>
        <w:tc>
          <w:tcPr>
            <w:tcW w:w="123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518.69 </w:t>
            </w:r>
          </w:p>
        </w:tc>
        <w:tc>
          <w:tcPr>
            <w:tcW w:w="376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518.69 </w:t>
            </w:r>
          </w:p>
        </w:tc>
        <w:tc>
          <w:tcPr>
            <w:tcW w:w="402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546"/>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2010909</w:t>
            </w:r>
          </w:p>
        </w:tc>
        <w:tc>
          <w:tcPr>
            <w:tcW w:w="484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海关关务</w:t>
            </w:r>
          </w:p>
        </w:tc>
        <w:tc>
          <w:tcPr>
            <w:tcW w:w="123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85.08 </w:t>
            </w:r>
          </w:p>
        </w:tc>
        <w:tc>
          <w:tcPr>
            <w:tcW w:w="376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402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85.08 </w:t>
            </w:r>
          </w:p>
        </w:tc>
      </w:tr>
      <w:tr>
        <w:trPr>
          <w:trHeight w:val="524"/>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2010911</w:t>
            </w:r>
          </w:p>
        </w:tc>
        <w:tc>
          <w:tcPr>
            <w:tcW w:w="484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海关监管</w:t>
            </w:r>
          </w:p>
        </w:tc>
        <w:tc>
          <w:tcPr>
            <w:tcW w:w="123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51.08 </w:t>
            </w:r>
          </w:p>
        </w:tc>
        <w:tc>
          <w:tcPr>
            <w:tcW w:w="376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402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51.08 </w:t>
            </w:r>
          </w:p>
        </w:tc>
      </w:tr>
      <w:tr>
        <w:trPr>
          <w:trHeight w:val="488"/>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2010912</w:t>
            </w:r>
          </w:p>
        </w:tc>
        <w:tc>
          <w:tcPr>
            <w:tcW w:w="484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检验检疫</w:t>
            </w:r>
          </w:p>
        </w:tc>
        <w:tc>
          <w:tcPr>
            <w:tcW w:w="123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6.60 </w:t>
            </w:r>
          </w:p>
        </w:tc>
        <w:tc>
          <w:tcPr>
            <w:tcW w:w="376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402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6.60 </w:t>
            </w:r>
          </w:p>
        </w:tc>
      </w:tr>
      <w:tr>
        <w:trPr>
          <w:trHeight w:val="512"/>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208</w:t>
            </w:r>
          </w:p>
        </w:tc>
        <w:tc>
          <w:tcPr>
            <w:tcW w:w="484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社会保障和就业支出</w:t>
            </w:r>
          </w:p>
        </w:tc>
        <w:tc>
          <w:tcPr>
            <w:tcW w:w="123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59.68 </w:t>
            </w:r>
          </w:p>
        </w:tc>
        <w:tc>
          <w:tcPr>
            <w:tcW w:w="376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59.68 </w:t>
            </w:r>
          </w:p>
        </w:tc>
        <w:tc>
          <w:tcPr>
            <w:tcW w:w="402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90"/>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20805</w:t>
            </w:r>
          </w:p>
        </w:tc>
        <w:tc>
          <w:tcPr>
            <w:tcW w:w="484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行政事业单位养老支出</w:t>
            </w:r>
          </w:p>
        </w:tc>
        <w:tc>
          <w:tcPr>
            <w:tcW w:w="123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59.68 </w:t>
            </w:r>
          </w:p>
        </w:tc>
        <w:tc>
          <w:tcPr>
            <w:tcW w:w="376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59.68 </w:t>
            </w:r>
          </w:p>
        </w:tc>
        <w:tc>
          <w:tcPr>
            <w:tcW w:w="402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617"/>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2080501</w:t>
            </w:r>
          </w:p>
        </w:tc>
        <w:tc>
          <w:tcPr>
            <w:tcW w:w="484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行政单位离退休</w:t>
            </w:r>
          </w:p>
        </w:tc>
        <w:tc>
          <w:tcPr>
            <w:tcW w:w="123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0.90 </w:t>
            </w:r>
          </w:p>
        </w:tc>
        <w:tc>
          <w:tcPr>
            <w:tcW w:w="376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0.90 </w:t>
            </w:r>
          </w:p>
        </w:tc>
        <w:tc>
          <w:tcPr>
            <w:tcW w:w="402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582"/>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2080505</w:t>
            </w:r>
          </w:p>
        </w:tc>
        <w:tc>
          <w:tcPr>
            <w:tcW w:w="484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机关事业单位基本养老保险缴费支出</w:t>
            </w:r>
          </w:p>
        </w:tc>
        <w:tc>
          <w:tcPr>
            <w:tcW w:w="123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39.19 </w:t>
            </w:r>
          </w:p>
        </w:tc>
        <w:tc>
          <w:tcPr>
            <w:tcW w:w="376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39.19 </w:t>
            </w:r>
          </w:p>
        </w:tc>
        <w:tc>
          <w:tcPr>
            <w:tcW w:w="402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582"/>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2080506</w:t>
            </w:r>
          </w:p>
        </w:tc>
        <w:tc>
          <w:tcPr>
            <w:tcW w:w="484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机关事业单位职业年金缴费支出</w:t>
            </w:r>
          </w:p>
        </w:tc>
        <w:tc>
          <w:tcPr>
            <w:tcW w:w="123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19.59 </w:t>
            </w:r>
          </w:p>
        </w:tc>
        <w:tc>
          <w:tcPr>
            <w:tcW w:w="376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19.59 </w:t>
            </w:r>
          </w:p>
        </w:tc>
        <w:tc>
          <w:tcPr>
            <w:tcW w:w="402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452"/>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210</w:t>
            </w:r>
          </w:p>
        </w:tc>
        <w:tc>
          <w:tcPr>
            <w:tcW w:w="484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卫生健康支出</w:t>
            </w:r>
          </w:p>
        </w:tc>
        <w:tc>
          <w:tcPr>
            <w:tcW w:w="123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33.87 </w:t>
            </w:r>
          </w:p>
        </w:tc>
        <w:tc>
          <w:tcPr>
            <w:tcW w:w="376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33.87 </w:t>
            </w:r>
          </w:p>
        </w:tc>
        <w:tc>
          <w:tcPr>
            <w:tcW w:w="402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429"/>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21011</w:t>
            </w:r>
          </w:p>
        </w:tc>
        <w:tc>
          <w:tcPr>
            <w:tcW w:w="484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行政事业单位医疗</w:t>
            </w:r>
          </w:p>
        </w:tc>
        <w:tc>
          <w:tcPr>
            <w:tcW w:w="123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33.87 </w:t>
            </w:r>
          </w:p>
        </w:tc>
        <w:tc>
          <w:tcPr>
            <w:tcW w:w="376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33.87 </w:t>
            </w:r>
          </w:p>
        </w:tc>
        <w:tc>
          <w:tcPr>
            <w:tcW w:w="402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547"/>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2101101</w:t>
            </w:r>
          </w:p>
        </w:tc>
        <w:tc>
          <w:tcPr>
            <w:tcW w:w="484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行政单位医疗</w:t>
            </w:r>
          </w:p>
        </w:tc>
        <w:tc>
          <w:tcPr>
            <w:tcW w:w="123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24.01 </w:t>
            </w:r>
          </w:p>
        </w:tc>
        <w:tc>
          <w:tcPr>
            <w:tcW w:w="376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24.01 </w:t>
            </w:r>
          </w:p>
        </w:tc>
        <w:tc>
          <w:tcPr>
            <w:tcW w:w="402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535"/>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2101103</w:t>
            </w:r>
          </w:p>
        </w:tc>
        <w:tc>
          <w:tcPr>
            <w:tcW w:w="484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公务员医疗补助</w:t>
            </w:r>
          </w:p>
        </w:tc>
        <w:tc>
          <w:tcPr>
            <w:tcW w:w="123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9.39 </w:t>
            </w:r>
          </w:p>
        </w:tc>
        <w:tc>
          <w:tcPr>
            <w:tcW w:w="376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9.39 </w:t>
            </w:r>
          </w:p>
        </w:tc>
        <w:tc>
          <w:tcPr>
            <w:tcW w:w="402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535"/>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2101199</w:t>
            </w:r>
          </w:p>
        </w:tc>
        <w:tc>
          <w:tcPr>
            <w:tcW w:w="484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其他行政事业单位医疗支出</w:t>
            </w:r>
          </w:p>
        </w:tc>
        <w:tc>
          <w:tcPr>
            <w:tcW w:w="123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0.47 </w:t>
            </w:r>
          </w:p>
        </w:tc>
        <w:tc>
          <w:tcPr>
            <w:tcW w:w="376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0.47 </w:t>
            </w:r>
          </w:p>
        </w:tc>
        <w:tc>
          <w:tcPr>
            <w:tcW w:w="402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630"/>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221</w:t>
            </w:r>
          </w:p>
        </w:tc>
        <w:tc>
          <w:tcPr>
            <w:tcW w:w="484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住房保障支出</w:t>
            </w:r>
          </w:p>
        </w:tc>
        <w:tc>
          <w:tcPr>
            <w:tcW w:w="123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78.15 </w:t>
            </w:r>
          </w:p>
        </w:tc>
        <w:tc>
          <w:tcPr>
            <w:tcW w:w="376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78.15 </w:t>
            </w:r>
          </w:p>
        </w:tc>
        <w:tc>
          <w:tcPr>
            <w:tcW w:w="402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523"/>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22102</w:t>
            </w:r>
          </w:p>
        </w:tc>
        <w:tc>
          <w:tcPr>
            <w:tcW w:w="484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住房改革支出</w:t>
            </w:r>
          </w:p>
        </w:tc>
        <w:tc>
          <w:tcPr>
            <w:tcW w:w="123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78.15 </w:t>
            </w:r>
          </w:p>
        </w:tc>
        <w:tc>
          <w:tcPr>
            <w:tcW w:w="376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78.15 </w:t>
            </w:r>
          </w:p>
        </w:tc>
        <w:tc>
          <w:tcPr>
            <w:tcW w:w="402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617"/>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2210201</w:t>
            </w:r>
          </w:p>
        </w:tc>
        <w:tc>
          <w:tcPr>
            <w:tcW w:w="484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住房公积金</w:t>
            </w:r>
          </w:p>
        </w:tc>
        <w:tc>
          <w:tcPr>
            <w:tcW w:w="123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43.31 </w:t>
            </w:r>
          </w:p>
        </w:tc>
        <w:tc>
          <w:tcPr>
            <w:tcW w:w="376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43.31 </w:t>
            </w:r>
          </w:p>
        </w:tc>
        <w:tc>
          <w:tcPr>
            <w:tcW w:w="402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747"/>
        </w:trPr>
        <w:tc>
          <w:tcPr>
            <w:tcW w:w="109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2210203</w:t>
            </w:r>
          </w:p>
        </w:tc>
        <w:tc>
          <w:tcPr>
            <w:tcW w:w="484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购房补贴</w:t>
            </w:r>
          </w:p>
        </w:tc>
        <w:tc>
          <w:tcPr>
            <w:tcW w:w="123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34.84 </w:t>
            </w:r>
          </w:p>
        </w:tc>
        <w:tc>
          <w:tcPr>
            <w:tcW w:w="376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34.84 </w:t>
            </w:r>
          </w:p>
        </w:tc>
        <w:tc>
          <w:tcPr>
            <w:tcW w:w="402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88"/>
        </w:trPr>
        <w:tc>
          <w:tcPr>
            <w:tcW w:w="14964" w:type="dxa"/>
            <w:gridSpan w:val="7"/>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注：本表反映部门本年度一般公共预算财政拨款支出情况。</w:t>
            </w:r>
          </w:p>
        </w:tc>
      </w:tr>
    </w:tbl>
    <w:p>
      <w:pPr>
        <w:pStyle w:val="15"/>
      </w:pPr>
    </w:p>
    <w:p>
      <w:pPr>
        <w:pStyle w:val="15"/>
      </w:pPr>
    </w:p>
    <w:p>
      <w:pPr>
        <w:pStyle w:val="15"/>
      </w:pPr>
    </w:p>
    <w:p>
      <w:pPr>
        <w:pStyle w:val="15"/>
      </w:pPr>
    </w:p>
    <w:tbl>
      <w:tblPr>
        <w:tblpPr w:leftFromText="180" w:rightFromText="180" w:vertAnchor="text" w:horzAnchor="page" w:tblpX="1183" w:tblpY="158"/>
        <w:tblOverlap w:val="never"/>
        <w:tblW w:w="15280"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978"/>
        <w:gridCol w:w="2581"/>
        <w:gridCol w:w="1071"/>
        <w:gridCol w:w="1092"/>
        <w:gridCol w:w="1942"/>
        <w:gridCol w:w="1008"/>
        <w:gridCol w:w="1061"/>
        <w:gridCol w:w="3619"/>
        <w:gridCol w:w="1928"/>
      </w:tblGrid>
      <w:tr>
        <w:trPr>
          <w:trHeight w:val="541"/>
        </w:trPr>
        <w:tc>
          <w:tcPr>
            <w:tcW w:w="15280" w:type="dxa"/>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44"/>
                <w:szCs w:val="44"/>
                <w:u w:val="none"/>
              </w:rPr>
            </w:pPr>
            <w:r>
              <w:rPr>
                <w:rFonts w:ascii="宋体" w:eastAsia="宋体" w:cs="宋体" w:hint="eastAsia"/>
                <w:i w:val="0"/>
                <w:iCs w:val="0"/>
                <w:color w:val="000000"/>
                <w:kern w:val="0"/>
                <w:sz w:val="44"/>
                <w:szCs w:val="44"/>
                <w:u w:val="none"/>
                <w:lang w:val="en-US" w:eastAsia="zh-CN"/>
              </w:rPr>
              <w:t>一般公共预算财政拨款基本支出决算明细表</w:t>
            </w:r>
          </w:p>
        </w:tc>
      </w:tr>
      <w:tr>
        <w:trPr>
          <w:trHeight w:val="296"/>
        </w:trPr>
        <w:tc>
          <w:tcPr>
            <w:tcW w:w="97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258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07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09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94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00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06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361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928"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公开06表</w:t>
            </w:r>
          </w:p>
        </w:tc>
      </w:tr>
      <w:tr>
        <w:trPr>
          <w:trHeight w:val="296"/>
        </w:trPr>
        <w:tc>
          <w:tcPr>
            <w:tcW w:w="5722" w:type="dxa"/>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部门：中华人民共和国额布都格海关</w:t>
            </w:r>
          </w:p>
        </w:tc>
        <w:tc>
          <w:tcPr>
            <w:tcW w:w="1942" w:type="dxa"/>
            <w:tcBorders>
              <w:top w:val="nil"/>
              <w:left w:val="nil"/>
              <w:bottom w:val="nil"/>
              <w:right w:val="nil"/>
            </w:tcBorders>
            <w:shd w:val="clear" w:color="auto" w:fill="auto"/>
            <w:noWrap/>
            <w:vAlign w:val="center"/>
          </w:tcPr>
          <w:p>
            <w:pPr>
              <w:jc w:val="center"/>
              <w:rPr>
                <w:rFonts w:ascii="宋体" w:eastAsia="宋体" w:cs="宋体" w:hint="eastAsia"/>
                <w:i w:val="0"/>
                <w:iCs w:val="0"/>
                <w:color w:val="000000"/>
                <w:sz w:val="24"/>
                <w:szCs w:val="24"/>
                <w:u w:val="none"/>
              </w:rPr>
            </w:pPr>
          </w:p>
        </w:tc>
        <w:tc>
          <w:tcPr>
            <w:tcW w:w="100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06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361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928"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单位：万元</w:t>
            </w:r>
          </w:p>
        </w:tc>
      </w:tr>
      <w:tr>
        <w:trPr>
          <w:trHeight w:val="312"/>
        </w:trPr>
        <w:tc>
          <w:tcPr>
            <w:tcW w:w="97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科目代码</w:t>
            </w:r>
          </w:p>
        </w:tc>
        <w:tc>
          <w:tcPr>
            <w:tcW w:w="2581"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科目名称</w:t>
            </w:r>
          </w:p>
        </w:tc>
        <w:tc>
          <w:tcPr>
            <w:tcW w:w="1071"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决算数</w:t>
            </w:r>
          </w:p>
        </w:tc>
        <w:tc>
          <w:tcPr>
            <w:tcW w:w="1092"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科目代码</w:t>
            </w:r>
          </w:p>
        </w:tc>
        <w:tc>
          <w:tcPr>
            <w:tcW w:w="1942"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科目名称</w:t>
            </w:r>
          </w:p>
        </w:tc>
        <w:tc>
          <w:tcPr>
            <w:tcW w:w="1008"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决算数</w:t>
            </w:r>
          </w:p>
        </w:tc>
        <w:tc>
          <w:tcPr>
            <w:tcW w:w="1061"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科目代码</w:t>
            </w:r>
          </w:p>
        </w:tc>
        <w:tc>
          <w:tcPr>
            <w:tcW w:w="3619"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科目名称</w:t>
            </w:r>
          </w:p>
        </w:tc>
        <w:tc>
          <w:tcPr>
            <w:tcW w:w="1928"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决算数</w:t>
            </w:r>
          </w:p>
        </w:tc>
      </w:tr>
      <w:tr>
        <w:trPr>
          <w:trHeight w:val="312"/>
        </w:trPr>
        <w:tc>
          <w:tcPr>
            <w:tcW w:w="97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581" w:type="dxa"/>
            <w:vMerge/>
            <w:tcBorders>
              <w:top w:val="single" w:sz="4" w:space="0" w:color="000000"/>
              <w:left w:val="nil"/>
              <w:bottom w:val="single" w:sz="4" w:space="0" w:color="000000"/>
              <w:right w:val="single" w:sz="4" w:space="0" w:color="000000"/>
            </w:tcBorders>
            <w:shd w:val="clear" w:color="auto" w:fill="auto"/>
            <w:noWrap/>
            <w:vAlign w:val="center"/>
          </w:tcPr>
          <w:p/>
        </w:tc>
        <w:tc>
          <w:tcPr>
            <w:tcW w:w="1071" w:type="dxa"/>
            <w:vMerge/>
            <w:tcBorders>
              <w:top w:val="single" w:sz="4" w:space="0" w:color="000000"/>
              <w:left w:val="nil"/>
              <w:bottom w:val="single" w:sz="4" w:space="0" w:color="000000"/>
              <w:right w:val="single" w:sz="4" w:space="0" w:color="000000"/>
            </w:tcBorders>
            <w:shd w:val="clear" w:color="auto" w:fill="auto"/>
            <w:noWrap/>
            <w:vAlign w:val="center"/>
          </w:tcPr>
          <w:p/>
        </w:tc>
        <w:tc>
          <w:tcPr>
            <w:tcW w:w="1092" w:type="dxa"/>
            <w:vMerge/>
            <w:tcBorders>
              <w:top w:val="single" w:sz="4" w:space="0" w:color="000000"/>
              <w:left w:val="nil"/>
              <w:bottom w:val="single" w:sz="4" w:space="0" w:color="000000"/>
              <w:right w:val="single" w:sz="4" w:space="0" w:color="000000"/>
            </w:tcBorders>
            <w:shd w:val="clear" w:color="auto" w:fill="auto"/>
            <w:noWrap/>
            <w:vAlign w:val="center"/>
          </w:tcPr>
          <w:p/>
        </w:tc>
        <w:tc>
          <w:tcPr>
            <w:tcW w:w="1942" w:type="dxa"/>
            <w:vMerge/>
            <w:tcBorders>
              <w:top w:val="single" w:sz="4" w:space="0" w:color="000000"/>
              <w:left w:val="nil"/>
              <w:bottom w:val="single" w:sz="4" w:space="0" w:color="000000"/>
              <w:right w:val="single" w:sz="4" w:space="0" w:color="000000"/>
            </w:tcBorders>
            <w:shd w:val="clear" w:color="auto" w:fill="auto"/>
            <w:noWrap/>
            <w:vAlign w:val="center"/>
          </w:tcPr>
          <w:p/>
        </w:tc>
        <w:tc>
          <w:tcPr>
            <w:tcW w:w="1008" w:type="dxa"/>
            <w:vMerge/>
            <w:tcBorders>
              <w:top w:val="single" w:sz="4" w:space="0" w:color="000000"/>
              <w:left w:val="nil"/>
              <w:bottom w:val="single" w:sz="4" w:space="0" w:color="000000"/>
              <w:right w:val="single" w:sz="4" w:space="0" w:color="000000"/>
            </w:tcBorders>
            <w:shd w:val="clear" w:color="auto" w:fill="auto"/>
            <w:noWrap/>
            <w:vAlign w:val="center"/>
          </w:tcPr>
          <w:p/>
        </w:tc>
        <w:tc>
          <w:tcPr>
            <w:tcW w:w="1061" w:type="dxa"/>
            <w:vMerge/>
            <w:tcBorders>
              <w:top w:val="single" w:sz="4" w:space="0" w:color="000000"/>
              <w:left w:val="nil"/>
              <w:bottom w:val="single" w:sz="4" w:space="0" w:color="000000"/>
              <w:right w:val="single" w:sz="4" w:space="0" w:color="000000"/>
            </w:tcBorders>
            <w:shd w:val="clear" w:color="auto" w:fill="auto"/>
            <w:noWrap/>
            <w:vAlign w:val="center"/>
          </w:tcPr>
          <w:p/>
        </w:tc>
        <w:tc>
          <w:tcPr>
            <w:tcW w:w="3619" w:type="dxa"/>
            <w:vMerge/>
            <w:tcBorders>
              <w:top w:val="single" w:sz="4" w:space="0" w:color="000000"/>
              <w:left w:val="nil"/>
              <w:bottom w:val="single" w:sz="4" w:space="0" w:color="000000"/>
              <w:right w:val="single" w:sz="4" w:space="0" w:color="000000"/>
            </w:tcBorders>
            <w:shd w:val="clear" w:color="auto" w:fill="auto"/>
            <w:noWrap/>
            <w:vAlign w:val="center"/>
          </w:tcPr>
          <w:p/>
        </w:tc>
        <w:tc>
          <w:tcPr>
            <w:tcW w:w="1928" w:type="dxa"/>
            <w:vMerge/>
            <w:tcBorders>
              <w:top w:val="single" w:sz="4" w:space="0" w:color="000000"/>
              <w:left w:val="nil"/>
              <w:bottom w:val="single" w:sz="4" w:space="0" w:color="000000"/>
              <w:right w:val="single" w:sz="4" w:space="0" w:color="000000"/>
            </w:tcBorders>
            <w:shd w:val="clear" w:color="auto" w:fill="auto"/>
            <w:noWrap/>
            <w:vAlign w:val="center"/>
          </w:tcPr>
          <w:p/>
        </w:tc>
      </w:tr>
      <w:tr>
        <w:trPr>
          <w:trHeight w:val="283"/>
        </w:trPr>
        <w:tc>
          <w:tcPr>
            <w:tcW w:w="97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301</w:t>
            </w:r>
          </w:p>
        </w:tc>
        <w:tc>
          <w:tcPr>
            <w:tcW w:w="258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工资福利支出</w:t>
            </w:r>
          </w:p>
        </w:tc>
        <w:tc>
          <w:tcPr>
            <w:tcW w:w="107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499.27</w:t>
            </w:r>
          </w:p>
        </w:tc>
        <w:tc>
          <w:tcPr>
            <w:tcW w:w="109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302</w:t>
            </w:r>
          </w:p>
        </w:tc>
        <w:tc>
          <w:tcPr>
            <w:tcW w:w="194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商品和服务支出</w:t>
            </w:r>
          </w:p>
        </w:tc>
        <w:tc>
          <w:tcPr>
            <w:tcW w:w="100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182.38</w:t>
            </w:r>
          </w:p>
        </w:tc>
        <w:tc>
          <w:tcPr>
            <w:tcW w:w="10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307</w:t>
            </w:r>
          </w:p>
        </w:tc>
        <w:tc>
          <w:tcPr>
            <w:tcW w:w="361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债务利息及费用支出</w:t>
            </w:r>
          </w:p>
        </w:tc>
        <w:tc>
          <w:tcPr>
            <w:tcW w:w="192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83"/>
        </w:trPr>
        <w:tc>
          <w:tcPr>
            <w:tcW w:w="97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30101</w:t>
            </w:r>
          </w:p>
        </w:tc>
        <w:tc>
          <w:tcPr>
            <w:tcW w:w="258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基本工资</w:t>
            </w:r>
          </w:p>
        </w:tc>
        <w:tc>
          <w:tcPr>
            <w:tcW w:w="107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123.67</w:t>
            </w:r>
          </w:p>
        </w:tc>
        <w:tc>
          <w:tcPr>
            <w:tcW w:w="109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30201</w:t>
            </w:r>
          </w:p>
        </w:tc>
        <w:tc>
          <w:tcPr>
            <w:tcW w:w="194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办公费</w:t>
            </w:r>
          </w:p>
        </w:tc>
        <w:tc>
          <w:tcPr>
            <w:tcW w:w="100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1.99</w:t>
            </w:r>
          </w:p>
        </w:tc>
        <w:tc>
          <w:tcPr>
            <w:tcW w:w="10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30701</w:t>
            </w:r>
          </w:p>
        </w:tc>
        <w:tc>
          <w:tcPr>
            <w:tcW w:w="361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国内债务付息</w:t>
            </w:r>
          </w:p>
        </w:tc>
        <w:tc>
          <w:tcPr>
            <w:tcW w:w="192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83"/>
        </w:trPr>
        <w:tc>
          <w:tcPr>
            <w:tcW w:w="97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30102</w:t>
            </w:r>
          </w:p>
        </w:tc>
        <w:tc>
          <w:tcPr>
            <w:tcW w:w="258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津贴补贴</w:t>
            </w:r>
          </w:p>
        </w:tc>
        <w:tc>
          <w:tcPr>
            <w:tcW w:w="107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153.21</w:t>
            </w:r>
          </w:p>
        </w:tc>
        <w:tc>
          <w:tcPr>
            <w:tcW w:w="109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30202</w:t>
            </w:r>
          </w:p>
        </w:tc>
        <w:tc>
          <w:tcPr>
            <w:tcW w:w="194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印刷费</w:t>
            </w:r>
          </w:p>
        </w:tc>
        <w:tc>
          <w:tcPr>
            <w:tcW w:w="100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30702</w:t>
            </w:r>
          </w:p>
        </w:tc>
        <w:tc>
          <w:tcPr>
            <w:tcW w:w="361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国外债务付息</w:t>
            </w:r>
          </w:p>
        </w:tc>
        <w:tc>
          <w:tcPr>
            <w:tcW w:w="192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83"/>
        </w:trPr>
        <w:tc>
          <w:tcPr>
            <w:tcW w:w="97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30103</w:t>
            </w:r>
          </w:p>
        </w:tc>
        <w:tc>
          <w:tcPr>
            <w:tcW w:w="258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奖金</w:t>
            </w:r>
          </w:p>
        </w:tc>
        <w:tc>
          <w:tcPr>
            <w:tcW w:w="107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85.60</w:t>
            </w:r>
          </w:p>
        </w:tc>
        <w:tc>
          <w:tcPr>
            <w:tcW w:w="109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30204</w:t>
            </w:r>
          </w:p>
        </w:tc>
        <w:tc>
          <w:tcPr>
            <w:tcW w:w="194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手续费</w:t>
            </w:r>
          </w:p>
        </w:tc>
        <w:tc>
          <w:tcPr>
            <w:tcW w:w="100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0.03</w:t>
            </w:r>
          </w:p>
        </w:tc>
        <w:tc>
          <w:tcPr>
            <w:tcW w:w="10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310</w:t>
            </w:r>
          </w:p>
        </w:tc>
        <w:tc>
          <w:tcPr>
            <w:tcW w:w="361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资本性支出</w:t>
            </w:r>
          </w:p>
        </w:tc>
        <w:tc>
          <w:tcPr>
            <w:tcW w:w="192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8.02</w:t>
            </w:r>
          </w:p>
        </w:tc>
      </w:tr>
      <w:tr>
        <w:trPr>
          <w:trHeight w:val="283"/>
        </w:trPr>
        <w:tc>
          <w:tcPr>
            <w:tcW w:w="97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30106</w:t>
            </w:r>
          </w:p>
        </w:tc>
        <w:tc>
          <w:tcPr>
            <w:tcW w:w="258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伙食补助费</w:t>
            </w:r>
          </w:p>
        </w:tc>
        <w:tc>
          <w:tcPr>
            <w:tcW w:w="1071"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9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30205</w:t>
            </w:r>
          </w:p>
        </w:tc>
        <w:tc>
          <w:tcPr>
            <w:tcW w:w="194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水费</w:t>
            </w:r>
          </w:p>
        </w:tc>
        <w:tc>
          <w:tcPr>
            <w:tcW w:w="100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0.47</w:t>
            </w:r>
          </w:p>
        </w:tc>
        <w:tc>
          <w:tcPr>
            <w:tcW w:w="10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31001</w:t>
            </w:r>
          </w:p>
        </w:tc>
        <w:tc>
          <w:tcPr>
            <w:tcW w:w="361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房屋建筑物购建</w:t>
            </w:r>
          </w:p>
        </w:tc>
        <w:tc>
          <w:tcPr>
            <w:tcW w:w="192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83"/>
        </w:trPr>
        <w:tc>
          <w:tcPr>
            <w:tcW w:w="97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30107</w:t>
            </w:r>
          </w:p>
        </w:tc>
        <w:tc>
          <w:tcPr>
            <w:tcW w:w="258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绩效工资</w:t>
            </w:r>
          </w:p>
        </w:tc>
        <w:tc>
          <w:tcPr>
            <w:tcW w:w="1071"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9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30206</w:t>
            </w:r>
          </w:p>
        </w:tc>
        <w:tc>
          <w:tcPr>
            <w:tcW w:w="194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电费</w:t>
            </w:r>
          </w:p>
        </w:tc>
        <w:tc>
          <w:tcPr>
            <w:tcW w:w="100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5.11</w:t>
            </w:r>
          </w:p>
        </w:tc>
        <w:tc>
          <w:tcPr>
            <w:tcW w:w="10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31002</w:t>
            </w:r>
          </w:p>
        </w:tc>
        <w:tc>
          <w:tcPr>
            <w:tcW w:w="361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办公设备购置</w:t>
            </w:r>
          </w:p>
        </w:tc>
        <w:tc>
          <w:tcPr>
            <w:tcW w:w="192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8.02</w:t>
            </w:r>
          </w:p>
        </w:tc>
      </w:tr>
      <w:tr>
        <w:trPr>
          <w:trHeight w:val="550"/>
        </w:trPr>
        <w:tc>
          <w:tcPr>
            <w:tcW w:w="97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30108</w:t>
            </w:r>
          </w:p>
        </w:tc>
        <w:tc>
          <w:tcPr>
            <w:tcW w:w="258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机关事业单位基本养老保险缴费</w:t>
            </w:r>
          </w:p>
        </w:tc>
        <w:tc>
          <w:tcPr>
            <w:tcW w:w="107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39.19</w:t>
            </w:r>
          </w:p>
        </w:tc>
        <w:tc>
          <w:tcPr>
            <w:tcW w:w="109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30207</w:t>
            </w:r>
          </w:p>
        </w:tc>
        <w:tc>
          <w:tcPr>
            <w:tcW w:w="194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邮电费</w:t>
            </w:r>
          </w:p>
        </w:tc>
        <w:tc>
          <w:tcPr>
            <w:tcW w:w="100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18.55</w:t>
            </w:r>
          </w:p>
        </w:tc>
        <w:tc>
          <w:tcPr>
            <w:tcW w:w="10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31003</w:t>
            </w:r>
          </w:p>
        </w:tc>
        <w:tc>
          <w:tcPr>
            <w:tcW w:w="361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专用设备购置</w:t>
            </w:r>
          </w:p>
        </w:tc>
        <w:tc>
          <w:tcPr>
            <w:tcW w:w="192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83"/>
        </w:trPr>
        <w:tc>
          <w:tcPr>
            <w:tcW w:w="97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30109</w:t>
            </w:r>
          </w:p>
        </w:tc>
        <w:tc>
          <w:tcPr>
            <w:tcW w:w="258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职业年金缴费</w:t>
            </w:r>
          </w:p>
        </w:tc>
        <w:tc>
          <w:tcPr>
            <w:tcW w:w="107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19.59</w:t>
            </w:r>
          </w:p>
        </w:tc>
        <w:tc>
          <w:tcPr>
            <w:tcW w:w="109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30208</w:t>
            </w:r>
          </w:p>
        </w:tc>
        <w:tc>
          <w:tcPr>
            <w:tcW w:w="194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取暖费</w:t>
            </w:r>
          </w:p>
        </w:tc>
        <w:tc>
          <w:tcPr>
            <w:tcW w:w="100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37.47</w:t>
            </w:r>
          </w:p>
        </w:tc>
        <w:tc>
          <w:tcPr>
            <w:tcW w:w="10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31005</w:t>
            </w:r>
          </w:p>
        </w:tc>
        <w:tc>
          <w:tcPr>
            <w:tcW w:w="361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基础设施建设</w:t>
            </w:r>
          </w:p>
        </w:tc>
        <w:tc>
          <w:tcPr>
            <w:tcW w:w="192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83"/>
        </w:trPr>
        <w:tc>
          <w:tcPr>
            <w:tcW w:w="97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30110</w:t>
            </w:r>
          </w:p>
        </w:tc>
        <w:tc>
          <w:tcPr>
            <w:tcW w:w="258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职工基本医疗保险缴费</w:t>
            </w:r>
          </w:p>
        </w:tc>
        <w:tc>
          <w:tcPr>
            <w:tcW w:w="107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24.01</w:t>
            </w:r>
          </w:p>
        </w:tc>
        <w:tc>
          <w:tcPr>
            <w:tcW w:w="109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30209</w:t>
            </w:r>
          </w:p>
        </w:tc>
        <w:tc>
          <w:tcPr>
            <w:tcW w:w="194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物业管理费</w:t>
            </w:r>
          </w:p>
        </w:tc>
        <w:tc>
          <w:tcPr>
            <w:tcW w:w="100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16.12</w:t>
            </w:r>
          </w:p>
        </w:tc>
        <w:tc>
          <w:tcPr>
            <w:tcW w:w="10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31006</w:t>
            </w:r>
          </w:p>
        </w:tc>
        <w:tc>
          <w:tcPr>
            <w:tcW w:w="361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大型修缮</w:t>
            </w:r>
          </w:p>
        </w:tc>
        <w:tc>
          <w:tcPr>
            <w:tcW w:w="192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83"/>
        </w:trPr>
        <w:tc>
          <w:tcPr>
            <w:tcW w:w="97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30111</w:t>
            </w:r>
          </w:p>
        </w:tc>
        <w:tc>
          <w:tcPr>
            <w:tcW w:w="258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公务员医疗补助缴费</w:t>
            </w:r>
          </w:p>
        </w:tc>
        <w:tc>
          <w:tcPr>
            <w:tcW w:w="107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9.39</w:t>
            </w:r>
          </w:p>
        </w:tc>
        <w:tc>
          <w:tcPr>
            <w:tcW w:w="109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30211</w:t>
            </w:r>
          </w:p>
        </w:tc>
        <w:tc>
          <w:tcPr>
            <w:tcW w:w="194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差旅费</w:t>
            </w:r>
          </w:p>
        </w:tc>
        <w:tc>
          <w:tcPr>
            <w:tcW w:w="100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27.69</w:t>
            </w:r>
          </w:p>
        </w:tc>
        <w:tc>
          <w:tcPr>
            <w:tcW w:w="10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31007</w:t>
            </w:r>
          </w:p>
        </w:tc>
        <w:tc>
          <w:tcPr>
            <w:tcW w:w="361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信息网络及软件购置更新</w:t>
            </w:r>
          </w:p>
        </w:tc>
        <w:tc>
          <w:tcPr>
            <w:tcW w:w="192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550"/>
        </w:trPr>
        <w:tc>
          <w:tcPr>
            <w:tcW w:w="97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30112</w:t>
            </w:r>
          </w:p>
        </w:tc>
        <w:tc>
          <w:tcPr>
            <w:tcW w:w="258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其他社会保障缴费</w:t>
            </w:r>
          </w:p>
        </w:tc>
        <w:tc>
          <w:tcPr>
            <w:tcW w:w="107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0.47</w:t>
            </w:r>
          </w:p>
        </w:tc>
        <w:tc>
          <w:tcPr>
            <w:tcW w:w="109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30212</w:t>
            </w:r>
          </w:p>
        </w:tc>
        <w:tc>
          <w:tcPr>
            <w:tcW w:w="194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因公出国（境）费用</w:t>
            </w:r>
          </w:p>
        </w:tc>
        <w:tc>
          <w:tcPr>
            <w:tcW w:w="100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31008</w:t>
            </w:r>
          </w:p>
        </w:tc>
        <w:tc>
          <w:tcPr>
            <w:tcW w:w="361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物资储备</w:t>
            </w:r>
          </w:p>
        </w:tc>
        <w:tc>
          <w:tcPr>
            <w:tcW w:w="192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83"/>
        </w:trPr>
        <w:tc>
          <w:tcPr>
            <w:tcW w:w="97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30113</w:t>
            </w:r>
          </w:p>
        </w:tc>
        <w:tc>
          <w:tcPr>
            <w:tcW w:w="258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住房公积金</w:t>
            </w:r>
          </w:p>
        </w:tc>
        <w:tc>
          <w:tcPr>
            <w:tcW w:w="107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43.31</w:t>
            </w:r>
          </w:p>
        </w:tc>
        <w:tc>
          <w:tcPr>
            <w:tcW w:w="109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30213</w:t>
            </w:r>
          </w:p>
        </w:tc>
        <w:tc>
          <w:tcPr>
            <w:tcW w:w="194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维修（护）费</w:t>
            </w:r>
          </w:p>
        </w:tc>
        <w:tc>
          <w:tcPr>
            <w:tcW w:w="100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12.73</w:t>
            </w:r>
          </w:p>
        </w:tc>
        <w:tc>
          <w:tcPr>
            <w:tcW w:w="10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31009</w:t>
            </w:r>
          </w:p>
        </w:tc>
        <w:tc>
          <w:tcPr>
            <w:tcW w:w="361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土地补偿</w:t>
            </w:r>
          </w:p>
        </w:tc>
        <w:tc>
          <w:tcPr>
            <w:tcW w:w="192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83"/>
        </w:trPr>
        <w:tc>
          <w:tcPr>
            <w:tcW w:w="97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30114</w:t>
            </w:r>
          </w:p>
        </w:tc>
        <w:tc>
          <w:tcPr>
            <w:tcW w:w="258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医疗费</w:t>
            </w:r>
          </w:p>
        </w:tc>
        <w:tc>
          <w:tcPr>
            <w:tcW w:w="1071"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9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30214</w:t>
            </w:r>
          </w:p>
        </w:tc>
        <w:tc>
          <w:tcPr>
            <w:tcW w:w="194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租赁费</w:t>
            </w:r>
          </w:p>
        </w:tc>
        <w:tc>
          <w:tcPr>
            <w:tcW w:w="100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7.07</w:t>
            </w:r>
          </w:p>
        </w:tc>
        <w:tc>
          <w:tcPr>
            <w:tcW w:w="10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31010</w:t>
            </w:r>
          </w:p>
        </w:tc>
        <w:tc>
          <w:tcPr>
            <w:tcW w:w="361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安置补助</w:t>
            </w:r>
          </w:p>
        </w:tc>
        <w:tc>
          <w:tcPr>
            <w:tcW w:w="192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83"/>
        </w:trPr>
        <w:tc>
          <w:tcPr>
            <w:tcW w:w="97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30199</w:t>
            </w:r>
          </w:p>
        </w:tc>
        <w:tc>
          <w:tcPr>
            <w:tcW w:w="258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其他工资福利支出</w:t>
            </w:r>
          </w:p>
        </w:tc>
        <w:tc>
          <w:tcPr>
            <w:tcW w:w="107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0.84</w:t>
            </w:r>
          </w:p>
        </w:tc>
        <w:tc>
          <w:tcPr>
            <w:tcW w:w="109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30215</w:t>
            </w:r>
          </w:p>
        </w:tc>
        <w:tc>
          <w:tcPr>
            <w:tcW w:w="194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会议费</w:t>
            </w:r>
          </w:p>
        </w:tc>
        <w:tc>
          <w:tcPr>
            <w:tcW w:w="100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31011</w:t>
            </w:r>
          </w:p>
        </w:tc>
        <w:tc>
          <w:tcPr>
            <w:tcW w:w="361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地上附着物和青苗补偿</w:t>
            </w:r>
          </w:p>
        </w:tc>
        <w:tc>
          <w:tcPr>
            <w:tcW w:w="192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83"/>
        </w:trPr>
        <w:tc>
          <w:tcPr>
            <w:tcW w:w="97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303</w:t>
            </w:r>
          </w:p>
        </w:tc>
        <w:tc>
          <w:tcPr>
            <w:tcW w:w="258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对个人和家庭的补助</w:t>
            </w:r>
          </w:p>
        </w:tc>
        <w:tc>
          <w:tcPr>
            <w:tcW w:w="107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0.72</w:t>
            </w:r>
          </w:p>
        </w:tc>
        <w:tc>
          <w:tcPr>
            <w:tcW w:w="109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30216</w:t>
            </w:r>
          </w:p>
        </w:tc>
        <w:tc>
          <w:tcPr>
            <w:tcW w:w="194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培训费</w:t>
            </w:r>
          </w:p>
        </w:tc>
        <w:tc>
          <w:tcPr>
            <w:tcW w:w="100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0.66</w:t>
            </w:r>
          </w:p>
        </w:tc>
        <w:tc>
          <w:tcPr>
            <w:tcW w:w="10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31012</w:t>
            </w:r>
          </w:p>
        </w:tc>
        <w:tc>
          <w:tcPr>
            <w:tcW w:w="361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拆迁补偿</w:t>
            </w:r>
          </w:p>
        </w:tc>
        <w:tc>
          <w:tcPr>
            <w:tcW w:w="192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83"/>
        </w:trPr>
        <w:tc>
          <w:tcPr>
            <w:tcW w:w="97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30301</w:t>
            </w:r>
          </w:p>
        </w:tc>
        <w:tc>
          <w:tcPr>
            <w:tcW w:w="258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离休费</w:t>
            </w:r>
          </w:p>
        </w:tc>
        <w:tc>
          <w:tcPr>
            <w:tcW w:w="1071"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9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30217</w:t>
            </w:r>
          </w:p>
        </w:tc>
        <w:tc>
          <w:tcPr>
            <w:tcW w:w="194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公务接待费</w:t>
            </w:r>
          </w:p>
        </w:tc>
        <w:tc>
          <w:tcPr>
            <w:tcW w:w="100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31013</w:t>
            </w:r>
          </w:p>
        </w:tc>
        <w:tc>
          <w:tcPr>
            <w:tcW w:w="361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公务用车购置</w:t>
            </w:r>
          </w:p>
        </w:tc>
        <w:tc>
          <w:tcPr>
            <w:tcW w:w="192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83"/>
        </w:trPr>
        <w:tc>
          <w:tcPr>
            <w:tcW w:w="97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30302</w:t>
            </w:r>
          </w:p>
        </w:tc>
        <w:tc>
          <w:tcPr>
            <w:tcW w:w="258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退休费</w:t>
            </w:r>
          </w:p>
        </w:tc>
        <w:tc>
          <w:tcPr>
            <w:tcW w:w="107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0.70</w:t>
            </w:r>
          </w:p>
        </w:tc>
        <w:tc>
          <w:tcPr>
            <w:tcW w:w="109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30218</w:t>
            </w:r>
          </w:p>
        </w:tc>
        <w:tc>
          <w:tcPr>
            <w:tcW w:w="194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专用材料费</w:t>
            </w:r>
          </w:p>
        </w:tc>
        <w:tc>
          <w:tcPr>
            <w:tcW w:w="100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31019</w:t>
            </w:r>
          </w:p>
        </w:tc>
        <w:tc>
          <w:tcPr>
            <w:tcW w:w="361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其他交通工具购置</w:t>
            </w:r>
          </w:p>
        </w:tc>
        <w:tc>
          <w:tcPr>
            <w:tcW w:w="192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83"/>
        </w:trPr>
        <w:tc>
          <w:tcPr>
            <w:tcW w:w="97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30303</w:t>
            </w:r>
          </w:p>
        </w:tc>
        <w:tc>
          <w:tcPr>
            <w:tcW w:w="258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退职（役）费</w:t>
            </w:r>
          </w:p>
        </w:tc>
        <w:tc>
          <w:tcPr>
            <w:tcW w:w="1071"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9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30224</w:t>
            </w:r>
          </w:p>
        </w:tc>
        <w:tc>
          <w:tcPr>
            <w:tcW w:w="194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被装购置费</w:t>
            </w:r>
          </w:p>
        </w:tc>
        <w:tc>
          <w:tcPr>
            <w:tcW w:w="100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31021</w:t>
            </w:r>
          </w:p>
        </w:tc>
        <w:tc>
          <w:tcPr>
            <w:tcW w:w="361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文物和陈列品购置</w:t>
            </w:r>
          </w:p>
        </w:tc>
        <w:tc>
          <w:tcPr>
            <w:tcW w:w="192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83"/>
        </w:trPr>
        <w:tc>
          <w:tcPr>
            <w:tcW w:w="97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30304</w:t>
            </w:r>
          </w:p>
        </w:tc>
        <w:tc>
          <w:tcPr>
            <w:tcW w:w="258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抚恤金</w:t>
            </w:r>
          </w:p>
        </w:tc>
        <w:tc>
          <w:tcPr>
            <w:tcW w:w="1071"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9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30225</w:t>
            </w:r>
          </w:p>
        </w:tc>
        <w:tc>
          <w:tcPr>
            <w:tcW w:w="194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专用燃料费</w:t>
            </w:r>
          </w:p>
        </w:tc>
        <w:tc>
          <w:tcPr>
            <w:tcW w:w="100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31022</w:t>
            </w:r>
          </w:p>
        </w:tc>
        <w:tc>
          <w:tcPr>
            <w:tcW w:w="361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无形资产购置</w:t>
            </w:r>
          </w:p>
        </w:tc>
        <w:tc>
          <w:tcPr>
            <w:tcW w:w="192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83"/>
        </w:trPr>
        <w:tc>
          <w:tcPr>
            <w:tcW w:w="97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30305</w:t>
            </w:r>
          </w:p>
        </w:tc>
        <w:tc>
          <w:tcPr>
            <w:tcW w:w="258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生活补助</w:t>
            </w:r>
          </w:p>
        </w:tc>
        <w:tc>
          <w:tcPr>
            <w:tcW w:w="1071"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9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30226</w:t>
            </w:r>
          </w:p>
        </w:tc>
        <w:tc>
          <w:tcPr>
            <w:tcW w:w="194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劳务费</w:t>
            </w:r>
          </w:p>
        </w:tc>
        <w:tc>
          <w:tcPr>
            <w:tcW w:w="100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1.60</w:t>
            </w:r>
          </w:p>
        </w:tc>
        <w:tc>
          <w:tcPr>
            <w:tcW w:w="10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31099</w:t>
            </w:r>
          </w:p>
        </w:tc>
        <w:tc>
          <w:tcPr>
            <w:tcW w:w="361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其他资本性支出</w:t>
            </w:r>
          </w:p>
        </w:tc>
        <w:tc>
          <w:tcPr>
            <w:tcW w:w="192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83"/>
        </w:trPr>
        <w:tc>
          <w:tcPr>
            <w:tcW w:w="97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30306</w:t>
            </w:r>
          </w:p>
        </w:tc>
        <w:tc>
          <w:tcPr>
            <w:tcW w:w="258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救济费</w:t>
            </w:r>
          </w:p>
        </w:tc>
        <w:tc>
          <w:tcPr>
            <w:tcW w:w="1071"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9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30227</w:t>
            </w:r>
          </w:p>
        </w:tc>
        <w:tc>
          <w:tcPr>
            <w:tcW w:w="194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委托业务费</w:t>
            </w:r>
          </w:p>
        </w:tc>
        <w:tc>
          <w:tcPr>
            <w:tcW w:w="100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3.48</w:t>
            </w:r>
          </w:p>
        </w:tc>
        <w:tc>
          <w:tcPr>
            <w:tcW w:w="10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399</w:t>
            </w:r>
          </w:p>
        </w:tc>
        <w:tc>
          <w:tcPr>
            <w:tcW w:w="361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其他支出</w:t>
            </w:r>
          </w:p>
        </w:tc>
        <w:tc>
          <w:tcPr>
            <w:tcW w:w="192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83"/>
        </w:trPr>
        <w:tc>
          <w:tcPr>
            <w:tcW w:w="97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30307</w:t>
            </w:r>
          </w:p>
        </w:tc>
        <w:tc>
          <w:tcPr>
            <w:tcW w:w="258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医疗费补助</w:t>
            </w:r>
          </w:p>
        </w:tc>
        <w:tc>
          <w:tcPr>
            <w:tcW w:w="1071"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9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30228</w:t>
            </w:r>
          </w:p>
        </w:tc>
        <w:tc>
          <w:tcPr>
            <w:tcW w:w="194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工会经费</w:t>
            </w:r>
          </w:p>
        </w:tc>
        <w:tc>
          <w:tcPr>
            <w:tcW w:w="100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6.56</w:t>
            </w:r>
          </w:p>
        </w:tc>
        <w:tc>
          <w:tcPr>
            <w:tcW w:w="10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39907</w:t>
            </w:r>
          </w:p>
        </w:tc>
        <w:tc>
          <w:tcPr>
            <w:tcW w:w="361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国家赔偿费用支出</w:t>
            </w:r>
          </w:p>
        </w:tc>
        <w:tc>
          <w:tcPr>
            <w:tcW w:w="192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83"/>
        </w:trPr>
        <w:tc>
          <w:tcPr>
            <w:tcW w:w="97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30308</w:t>
            </w:r>
          </w:p>
        </w:tc>
        <w:tc>
          <w:tcPr>
            <w:tcW w:w="258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助学金</w:t>
            </w:r>
          </w:p>
        </w:tc>
        <w:tc>
          <w:tcPr>
            <w:tcW w:w="1071"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9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30229</w:t>
            </w:r>
          </w:p>
        </w:tc>
        <w:tc>
          <w:tcPr>
            <w:tcW w:w="194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福利费</w:t>
            </w:r>
          </w:p>
        </w:tc>
        <w:tc>
          <w:tcPr>
            <w:tcW w:w="100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1.28</w:t>
            </w:r>
          </w:p>
        </w:tc>
        <w:tc>
          <w:tcPr>
            <w:tcW w:w="10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39908</w:t>
            </w:r>
          </w:p>
        </w:tc>
        <w:tc>
          <w:tcPr>
            <w:tcW w:w="361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对民间非营利组织和群众性自治组织补贴</w:t>
            </w:r>
          </w:p>
        </w:tc>
        <w:tc>
          <w:tcPr>
            <w:tcW w:w="192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550"/>
        </w:trPr>
        <w:tc>
          <w:tcPr>
            <w:tcW w:w="97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30309</w:t>
            </w:r>
          </w:p>
        </w:tc>
        <w:tc>
          <w:tcPr>
            <w:tcW w:w="258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奖励金</w:t>
            </w:r>
          </w:p>
        </w:tc>
        <w:tc>
          <w:tcPr>
            <w:tcW w:w="107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0.02</w:t>
            </w:r>
          </w:p>
        </w:tc>
        <w:tc>
          <w:tcPr>
            <w:tcW w:w="109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30231</w:t>
            </w:r>
          </w:p>
        </w:tc>
        <w:tc>
          <w:tcPr>
            <w:tcW w:w="194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公务用车运行维护费</w:t>
            </w:r>
          </w:p>
        </w:tc>
        <w:tc>
          <w:tcPr>
            <w:tcW w:w="100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0.40</w:t>
            </w:r>
          </w:p>
        </w:tc>
        <w:tc>
          <w:tcPr>
            <w:tcW w:w="10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39909</w:t>
            </w:r>
          </w:p>
        </w:tc>
        <w:tc>
          <w:tcPr>
            <w:tcW w:w="361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经常性赠与</w:t>
            </w:r>
          </w:p>
        </w:tc>
        <w:tc>
          <w:tcPr>
            <w:tcW w:w="192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83"/>
        </w:trPr>
        <w:tc>
          <w:tcPr>
            <w:tcW w:w="97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30310</w:t>
            </w:r>
          </w:p>
        </w:tc>
        <w:tc>
          <w:tcPr>
            <w:tcW w:w="258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个人农业生产补贴</w:t>
            </w:r>
          </w:p>
        </w:tc>
        <w:tc>
          <w:tcPr>
            <w:tcW w:w="1071"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9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30239</w:t>
            </w:r>
          </w:p>
        </w:tc>
        <w:tc>
          <w:tcPr>
            <w:tcW w:w="194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其他交通费用</w:t>
            </w:r>
          </w:p>
        </w:tc>
        <w:tc>
          <w:tcPr>
            <w:tcW w:w="100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33.86</w:t>
            </w:r>
          </w:p>
        </w:tc>
        <w:tc>
          <w:tcPr>
            <w:tcW w:w="10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39910</w:t>
            </w:r>
          </w:p>
        </w:tc>
        <w:tc>
          <w:tcPr>
            <w:tcW w:w="361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资本性赠与</w:t>
            </w:r>
          </w:p>
        </w:tc>
        <w:tc>
          <w:tcPr>
            <w:tcW w:w="192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83"/>
        </w:trPr>
        <w:tc>
          <w:tcPr>
            <w:tcW w:w="97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30311</w:t>
            </w:r>
          </w:p>
        </w:tc>
        <w:tc>
          <w:tcPr>
            <w:tcW w:w="258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代缴社会保险费</w:t>
            </w:r>
          </w:p>
        </w:tc>
        <w:tc>
          <w:tcPr>
            <w:tcW w:w="1071"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9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30240</w:t>
            </w:r>
          </w:p>
        </w:tc>
        <w:tc>
          <w:tcPr>
            <w:tcW w:w="194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税金及附加费用</w:t>
            </w:r>
          </w:p>
        </w:tc>
        <w:tc>
          <w:tcPr>
            <w:tcW w:w="100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39999</w:t>
            </w:r>
          </w:p>
        </w:tc>
        <w:tc>
          <w:tcPr>
            <w:tcW w:w="361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其他支出</w:t>
            </w:r>
          </w:p>
        </w:tc>
        <w:tc>
          <w:tcPr>
            <w:tcW w:w="192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550"/>
        </w:trPr>
        <w:tc>
          <w:tcPr>
            <w:tcW w:w="978"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30399</w:t>
            </w:r>
          </w:p>
        </w:tc>
        <w:tc>
          <w:tcPr>
            <w:tcW w:w="258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其他对个人和家庭的补助</w:t>
            </w:r>
          </w:p>
        </w:tc>
        <w:tc>
          <w:tcPr>
            <w:tcW w:w="1071"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9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30299</w:t>
            </w:r>
          </w:p>
        </w:tc>
        <w:tc>
          <w:tcPr>
            <w:tcW w:w="194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其他商品和服务支出</w:t>
            </w:r>
          </w:p>
        </w:tc>
        <w:tc>
          <w:tcPr>
            <w:tcW w:w="100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7.32</w:t>
            </w:r>
          </w:p>
        </w:tc>
        <w:tc>
          <w:tcPr>
            <w:tcW w:w="1061"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2"/>
                <w:szCs w:val="22"/>
                <w:u w:val="none"/>
              </w:rPr>
            </w:pPr>
          </w:p>
        </w:tc>
        <w:tc>
          <w:tcPr>
            <w:tcW w:w="3619"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2"/>
                <w:szCs w:val="22"/>
                <w:u w:val="none"/>
              </w:rPr>
            </w:pPr>
          </w:p>
        </w:tc>
        <w:tc>
          <w:tcPr>
            <w:tcW w:w="1928"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r>
      <w:tr>
        <w:trPr>
          <w:trHeight w:val="283"/>
        </w:trPr>
        <w:tc>
          <w:tcPr>
            <w:tcW w:w="3559"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人员经费合计 </w:t>
            </w:r>
          </w:p>
        </w:tc>
        <w:tc>
          <w:tcPr>
            <w:tcW w:w="107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499.99</w:t>
            </w:r>
          </w:p>
        </w:tc>
        <w:tc>
          <w:tcPr>
            <w:tcW w:w="8722" w:type="dxa"/>
            <w:gridSpan w:val="5"/>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公用经费合计</w:t>
            </w:r>
          </w:p>
        </w:tc>
        <w:tc>
          <w:tcPr>
            <w:tcW w:w="192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190.40</w:t>
            </w:r>
          </w:p>
        </w:tc>
      </w:tr>
      <w:tr>
        <w:trPr>
          <w:trHeight w:val="283"/>
        </w:trPr>
        <w:tc>
          <w:tcPr>
            <w:tcW w:w="15280" w:type="dxa"/>
            <w:gridSpan w:val="9"/>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注：本表反映部门本年度一般公共预算财政拨款基本支出明细情况。</w:t>
            </w:r>
          </w:p>
        </w:tc>
      </w:tr>
    </w:tbl>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tbl>
      <w:tblPr>
        <w:tblpPr w:leftFromText="180" w:rightFromText="180" w:vertAnchor="text" w:horzAnchor="page" w:tblpX="1406" w:tblpY="283"/>
        <w:tblOverlap w:val="never"/>
        <w:tblW w:w="15128"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828"/>
        <w:gridCol w:w="1699"/>
        <w:gridCol w:w="1925"/>
        <w:gridCol w:w="1547"/>
        <w:gridCol w:w="965"/>
        <w:gridCol w:w="2152"/>
        <w:gridCol w:w="2506"/>
        <w:gridCol w:w="3506"/>
      </w:tblGrid>
      <w:tr>
        <w:trPr>
          <w:trHeight w:val="564"/>
        </w:trPr>
        <w:tc>
          <w:tcPr>
            <w:tcW w:w="15128"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44"/>
                <w:szCs w:val="44"/>
                <w:u w:val="none"/>
              </w:rPr>
            </w:pPr>
            <w:r>
              <w:rPr>
                <w:rFonts w:ascii="宋体" w:eastAsia="宋体" w:cs="宋体" w:hint="eastAsia"/>
                <w:i w:val="0"/>
                <w:iCs w:val="0"/>
                <w:color w:val="000000"/>
                <w:kern w:val="0"/>
                <w:sz w:val="44"/>
                <w:szCs w:val="44"/>
                <w:u w:val="none"/>
                <w:lang w:val="en-US" w:eastAsia="zh-CN"/>
              </w:rPr>
              <w:t>政府性基金预算财政拨款收入支出决算表</w:t>
            </w:r>
          </w:p>
        </w:tc>
      </w:tr>
      <w:tr>
        <w:trPr>
          <w:trHeight w:val="312"/>
        </w:trPr>
        <w:tc>
          <w:tcPr>
            <w:tcW w:w="82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69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92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547"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96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215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250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3506"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公开07表</w:t>
            </w:r>
          </w:p>
        </w:tc>
      </w:tr>
      <w:tr>
        <w:trPr>
          <w:trHeight w:val="312"/>
        </w:trPr>
        <w:tc>
          <w:tcPr>
            <w:tcW w:w="5999" w:type="dxa"/>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部门：中华人民共和国额布都格海关</w:t>
            </w:r>
          </w:p>
        </w:tc>
        <w:tc>
          <w:tcPr>
            <w:tcW w:w="965" w:type="dxa"/>
            <w:tcBorders>
              <w:top w:val="nil"/>
              <w:left w:val="nil"/>
              <w:bottom w:val="nil"/>
              <w:right w:val="nil"/>
            </w:tcBorders>
            <w:shd w:val="clear" w:color="auto" w:fill="auto"/>
            <w:noWrap/>
            <w:vAlign w:val="center"/>
          </w:tcPr>
          <w:p>
            <w:pPr>
              <w:jc w:val="center"/>
              <w:rPr>
                <w:rFonts w:ascii="宋体" w:eastAsia="宋体" w:cs="宋体" w:hint="eastAsia"/>
                <w:i w:val="0"/>
                <w:iCs w:val="0"/>
                <w:color w:val="000000"/>
                <w:sz w:val="24"/>
                <w:szCs w:val="24"/>
                <w:u w:val="none"/>
              </w:rPr>
            </w:pPr>
          </w:p>
        </w:tc>
        <w:tc>
          <w:tcPr>
            <w:tcW w:w="215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250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3506"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单位：万元</w:t>
            </w:r>
          </w:p>
        </w:tc>
      </w:tr>
      <w:tr>
        <w:trPr>
          <w:trHeight w:val="288"/>
        </w:trPr>
        <w:tc>
          <w:tcPr>
            <w:tcW w:w="2527"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w:t>
            </w:r>
          </w:p>
        </w:tc>
        <w:tc>
          <w:tcPr>
            <w:tcW w:w="1925"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年初结转和结余 </w:t>
            </w:r>
          </w:p>
        </w:tc>
        <w:tc>
          <w:tcPr>
            <w:tcW w:w="1547"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本年收入</w:t>
            </w:r>
          </w:p>
        </w:tc>
        <w:tc>
          <w:tcPr>
            <w:tcW w:w="5623" w:type="dxa"/>
            <w:gridSpan w:val="3"/>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本年支出</w:t>
            </w:r>
          </w:p>
        </w:tc>
        <w:tc>
          <w:tcPr>
            <w:tcW w:w="3506"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年末结转和结余</w:t>
            </w:r>
          </w:p>
        </w:tc>
      </w:tr>
      <w:tr>
        <w:trPr>
          <w:trHeight w:val="288"/>
        </w:trPr>
        <w:tc>
          <w:tcPr>
            <w:tcW w:w="828" w:type="dxa"/>
            <w:vMerge w:val="restar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科目代码</w:t>
            </w:r>
          </w:p>
        </w:tc>
        <w:tc>
          <w:tcPr>
            <w:tcW w:w="1699"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科目名称</w:t>
            </w:r>
          </w:p>
        </w:tc>
        <w:tc>
          <w:tcPr>
            <w:tcW w:w="1925" w:type="dxa"/>
            <w:vMerge/>
            <w:tcBorders>
              <w:top w:val="single" w:sz="4" w:space="0" w:color="000000"/>
              <w:left w:val="nil"/>
              <w:bottom w:val="single" w:sz="4" w:space="0" w:color="000000"/>
              <w:right w:val="single" w:sz="4" w:space="0" w:color="000000"/>
            </w:tcBorders>
            <w:shd w:val="clear" w:color="auto" w:fill="auto"/>
            <w:noWrap/>
            <w:vAlign w:val="center"/>
          </w:tcPr>
          <w:p/>
        </w:tc>
        <w:tc>
          <w:tcPr>
            <w:tcW w:w="1547" w:type="dxa"/>
            <w:vMerge/>
            <w:tcBorders>
              <w:top w:val="single" w:sz="4" w:space="0" w:color="000000"/>
              <w:left w:val="nil"/>
              <w:bottom w:val="single" w:sz="4" w:space="0" w:color="000000"/>
              <w:right w:val="single" w:sz="4" w:space="0" w:color="000000"/>
            </w:tcBorders>
            <w:shd w:val="clear" w:color="auto" w:fill="auto"/>
            <w:noWrap/>
            <w:vAlign w:val="center"/>
          </w:tcPr>
          <w:p/>
        </w:tc>
        <w:tc>
          <w:tcPr>
            <w:tcW w:w="965"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小计</w:t>
            </w:r>
          </w:p>
        </w:tc>
        <w:tc>
          <w:tcPr>
            <w:tcW w:w="2152"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基本支出 </w:t>
            </w:r>
          </w:p>
        </w:tc>
        <w:tc>
          <w:tcPr>
            <w:tcW w:w="2506"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项目支出</w:t>
            </w:r>
          </w:p>
        </w:tc>
        <w:tc>
          <w:tcPr>
            <w:tcW w:w="3506" w:type="dxa"/>
            <w:vMerge/>
            <w:tcBorders>
              <w:top w:val="single" w:sz="4" w:space="0" w:color="000000"/>
              <w:left w:val="nil"/>
              <w:bottom w:val="single" w:sz="4" w:space="0" w:color="000000"/>
              <w:right w:val="single" w:sz="4" w:space="0" w:color="000000"/>
            </w:tcBorders>
            <w:shd w:val="clear" w:color="auto" w:fill="auto"/>
            <w:noWrap/>
            <w:vAlign w:val="center"/>
          </w:tcPr>
          <w:p/>
        </w:tc>
      </w:tr>
      <w:tr>
        <w:trPr>
          <w:trHeight w:val="288"/>
        </w:trPr>
        <w:tc>
          <w:tcPr>
            <w:tcW w:w="828" w:type="dxa"/>
            <w:vMerge/>
            <w:tcBorders>
              <w:top w:val="nil"/>
              <w:left w:val="single" w:sz="4" w:space="0" w:color="000000"/>
              <w:bottom w:val="single" w:sz="4" w:space="0" w:color="000000"/>
              <w:right w:val="single" w:sz="4" w:space="0" w:color="000000"/>
            </w:tcBorders>
            <w:shd w:val="clear" w:color="auto" w:fill="auto"/>
            <w:vAlign w:val="center"/>
          </w:tcPr>
          <w:p/>
        </w:tc>
        <w:tc>
          <w:tcPr>
            <w:tcW w:w="1699" w:type="dxa"/>
            <w:vMerge/>
            <w:tcBorders>
              <w:top w:val="nil"/>
              <w:left w:val="nil"/>
              <w:bottom w:val="single" w:sz="4" w:space="0" w:color="000000"/>
              <w:right w:val="single" w:sz="4" w:space="0" w:color="000000"/>
            </w:tcBorders>
            <w:shd w:val="clear" w:color="auto" w:fill="auto"/>
            <w:noWrap/>
            <w:vAlign w:val="center"/>
          </w:tcPr>
          <w:p/>
        </w:tc>
        <w:tc>
          <w:tcPr>
            <w:tcW w:w="1925" w:type="dxa"/>
            <w:vMerge/>
            <w:tcBorders>
              <w:top w:val="single" w:sz="4" w:space="0" w:color="000000"/>
              <w:left w:val="nil"/>
              <w:bottom w:val="single" w:sz="4" w:space="0" w:color="000000"/>
              <w:right w:val="single" w:sz="4" w:space="0" w:color="000000"/>
            </w:tcBorders>
            <w:shd w:val="clear" w:color="auto" w:fill="auto"/>
            <w:noWrap/>
            <w:vAlign w:val="center"/>
          </w:tcPr>
          <w:p/>
        </w:tc>
        <w:tc>
          <w:tcPr>
            <w:tcW w:w="1547" w:type="dxa"/>
            <w:vMerge/>
            <w:tcBorders>
              <w:top w:val="single" w:sz="4" w:space="0" w:color="000000"/>
              <w:left w:val="nil"/>
              <w:bottom w:val="single" w:sz="4" w:space="0" w:color="000000"/>
              <w:right w:val="single" w:sz="4" w:space="0" w:color="000000"/>
            </w:tcBorders>
            <w:shd w:val="clear" w:color="auto" w:fill="auto"/>
            <w:noWrap/>
            <w:vAlign w:val="center"/>
          </w:tcPr>
          <w:p/>
        </w:tc>
        <w:tc>
          <w:tcPr>
            <w:tcW w:w="965" w:type="dxa"/>
            <w:vMerge/>
            <w:tcBorders>
              <w:top w:val="nil"/>
              <w:left w:val="nil"/>
              <w:bottom w:val="single" w:sz="4" w:space="0" w:color="000000"/>
              <w:right w:val="single" w:sz="4" w:space="0" w:color="000000"/>
            </w:tcBorders>
            <w:shd w:val="clear" w:color="auto" w:fill="auto"/>
            <w:noWrap/>
            <w:vAlign w:val="center"/>
          </w:tcPr>
          <w:p/>
        </w:tc>
        <w:tc>
          <w:tcPr>
            <w:tcW w:w="2152" w:type="dxa"/>
            <w:vMerge/>
            <w:tcBorders>
              <w:top w:val="nil"/>
              <w:left w:val="nil"/>
              <w:bottom w:val="single" w:sz="4" w:space="0" w:color="000000"/>
              <w:right w:val="single" w:sz="4" w:space="0" w:color="000000"/>
            </w:tcBorders>
            <w:shd w:val="clear" w:color="auto" w:fill="auto"/>
            <w:noWrap/>
            <w:vAlign w:val="center"/>
          </w:tcPr>
          <w:p/>
        </w:tc>
        <w:tc>
          <w:tcPr>
            <w:tcW w:w="2506" w:type="dxa"/>
            <w:vMerge/>
            <w:tcBorders>
              <w:top w:val="nil"/>
              <w:left w:val="nil"/>
              <w:bottom w:val="single" w:sz="4" w:space="0" w:color="000000"/>
              <w:right w:val="single" w:sz="4" w:space="0" w:color="000000"/>
            </w:tcBorders>
            <w:shd w:val="clear" w:color="auto" w:fill="auto"/>
            <w:noWrap/>
            <w:vAlign w:val="center"/>
          </w:tcPr>
          <w:p/>
        </w:tc>
        <w:tc>
          <w:tcPr>
            <w:tcW w:w="3506" w:type="dxa"/>
            <w:vMerge/>
            <w:tcBorders>
              <w:top w:val="single" w:sz="4" w:space="0" w:color="000000"/>
              <w:left w:val="nil"/>
              <w:bottom w:val="single" w:sz="4" w:space="0" w:color="000000"/>
              <w:right w:val="single" w:sz="4" w:space="0" w:color="000000"/>
            </w:tcBorders>
            <w:shd w:val="clear" w:color="auto" w:fill="auto"/>
            <w:noWrap/>
            <w:vAlign w:val="center"/>
          </w:tcPr>
          <w:p/>
        </w:tc>
      </w:tr>
      <w:tr>
        <w:trPr>
          <w:trHeight w:val="288"/>
        </w:trPr>
        <w:tc>
          <w:tcPr>
            <w:tcW w:w="2527" w:type="dxa"/>
            <w:gridSpan w:val="2"/>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栏次</w:t>
            </w:r>
          </w:p>
        </w:tc>
        <w:tc>
          <w:tcPr>
            <w:tcW w:w="19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w:t>
            </w:r>
          </w:p>
        </w:tc>
        <w:tc>
          <w:tcPr>
            <w:tcW w:w="154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w:t>
            </w:r>
          </w:p>
        </w:tc>
        <w:tc>
          <w:tcPr>
            <w:tcW w:w="96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w:t>
            </w:r>
          </w:p>
        </w:tc>
        <w:tc>
          <w:tcPr>
            <w:tcW w:w="21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w:t>
            </w:r>
          </w:p>
        </w:tc>
        <w:tc>
          <w:tcPr>
            <w:tcW w:w="250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c>
          <w:tcPr>
            <w:tcW w:w="350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w:t>
            </w:r>
          </w:p>
        </w:tc>
      </w:tr>
      <w:tr>
        <w:trPr>
          <w:trHeight w:val="288"/>
        </w:trPr>
        <w:tc>
          <w:tcPr>
            <w:tcW w:w="2527" w:type="dxa"/>
            <w:gridSpan w:val="2"/>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合计</w:t>
            </w:r>
          </w:p>
        </w:tc>
        <w:tc>
          <w:tcPr>
            <w:tcW w:w="192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54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96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15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50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350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88"/>
        </w:trPr>
        <w:tc>
          <w:tcPr>
            <w:tcW w:w="828"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2"/>
                <w:szCs w:val="22"/>
                <w:u w:val="none"/>
              </w:rPr>
            </w:pPr>
          </w:p>
        </w:tc>
        <w:tc>
          <w:tcPr>
            <w:tcW w:w="1699"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2"/>
                <w:szCs w:val="22"/>
                <w:u w:val="none"/>
              </w:rPr>
            </w:pPr>
          </w:p>
        </w:tc>
        <w:tc>
          <w:tcPr>
            <w:tcW w:w="192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54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96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15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50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350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88"/>
        </w:trPr>
        <w:tc>
          <w:tcPr>
            <w:tcW w:w="15128" w:type="dxa"/>
            <w:gridSpan w:val="8"/>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注：本表反映部门本年度政府性基金预算财政拨款收入、支出及结转和结余情况。</w:t>
            </w:r>
          </w:p>
        </w:tc>
      </w:tr>
      <w:tr>
        <w:trPr>
          <w:trHeight w:val="288"/>
        </w:trPr>
        <w:tc>
          <w:tcPr>
            <w:tcW w:w="15128" w:type="dxa"/>
            <w:gridSpan w:val="8"/>
            <w:tcBorders>
              <w:top w:val="nil"/>
              <w:left w:val="nil"/>
              <w:bottom w:val="nil"/>
              <w:right w:val="nil"/>
            </w:tcBorders>
            <w:shd w:val="clear" w:color="auto" w:fill="auto"/>
            <w:noWrap/>
            <w:vAlign w:val="center"/>
          </w:tcPr>
          <w:p>
            <w:pPr>
              <w:keepNext w:val="0"/>
              <w:keepLines w:val="0"/>
              <w:widowControl/>
              <w:suppressLineNumbers w:val="0"/>
              <w:ind w:firstLineChars="200" w:firstLine="440"/>
              <w:jc w:val="left"/>
              <w:textAlignment w:val="center"/>
              <w:rPr>
                <w:rFonts w:ascii="宋体" w:eastAsia="宋体" w:cs="宋体" w:hint="eastAsia"/>
                <w:i w:val="0"/>
                <w:iCs w:val="0"/>
                <w:color w:val="000000"/>
                <w:kern w:val="0"/>
                <w:sz w:val="22"/>
                <w:szCs w:val="22"/>
                <w:u w:val="none"/>
                <w:lang w:val="en-US" w:eastAsia="zh-CN"/>
              </w:rPr>
            </w:pPr>
            <w:r>
              <w:rPr>
                <w:rFonts w:ascii="宋体" w:cs="宋体" w:hint="eastAsia"/>
                <w:i w:val="0"/>
                <w:iCs w:val="0"/>
                <w:color w:val="000000"/>
                <w:kern w:val="0"/>
                <w:sz w:val="22"/>
                <w:szCs w:val="22"/>
                <w:u w:val="none"/>
                <w:lang w:val="en-US" w:eastAsia="zh-CN"/>
              </w:rPr>
              <w:t>额布都格海关本年度无政府性基金预算财政拨款收入。</w:t>
            </w:r>
          </w:p>
        </w:tc>
      </w:tr>
    </w:tbl>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tbl>
      <w:tblPr>
        <w:tblpPr w:leftFromText="180" w:rightFromText="180" w:vertAnchor="text" w:horzAnchor="page" w:tblpX="1289" w:tblpY="263"/>
        <w:tblOverlap w:val="never"/>
        <w:tblW w:w="15236"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2469"/>
        <w:gridCol w:w="2095"/>
        <w:gridCol w:w="3364"/>
        <w:gridCol w:w="3706"/>
        <w:gridCol w:w="3602"/>
      </w:tblGrid>
      <w:tr>
        <w:trPr>
          <w:trHeight w:val="564"/>
        </w:trPr>
        <w:tc>
          <w:tcPr>
            <w:tcW w:w="15236" w:type="dxa"/>
            <w:gridSpan w:val="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44"/>
                <w:szCs w:val="44"/>
                <w:u w:val="none"/>
              </w:rPr>
            </w:pPr>
            <w:r>
              <w:rPr>
                <w:rFonts w:ascii="宋体" w:eastAsia="宋体" w:cs="宋体" w:hint="eastAsia"/>
                <w:i w:val="0"/>
                <w:iCs w:val="0"/>
                <w:color w:val="000000"/>
                <w:kern w:val="0"/>
                <w:sz w:val="44"/>
                <w:szCs w:val="44"/>
                <w:u w:val="none"/>
                <w:lang w:val="en-US" w:eastAsia="zh-CN"/>
              </w:rPr>
              <w:t>国有资本经营预算财政拨款支出决算表</w:t>
            </w:r>
          </w:p>
        </w:tc>
      </w:tr>
      <w:tr>
        <w:trPr>
          <w:trHeight w:val="312"/>
        </w:trPr>
        <w:tc>
          <w:tcPr>
            <w:tcW w:w="246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209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336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370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3602"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公开08表</w:t>
            </w:r>
          </w:p>
        </w:tc>
      </w:tr>
      <w:tr>
        <w:trPr>
          <w:trHeight w:val="312"/>
        </w:trPr>
        <w:tc>
          <w:tcPr>
            <w:tcW w:w="4564" w:type="dxa"/>
            <w:gridSpan w:val="2"/>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部门：中华人民共和国额布都格海关</w:t>
            </w:r>
          </w:p>
        </w:tc>
        <w:tc>
          <w:tcPr>
            <w:tcW w:w="3364" w:type="dxa"/>
            <w:tcBorders>
              <w:top w:val="nil"/>
              <w:left w:val="nil"/>
              <w:bottom w:val="nil"/>
              <w:right w:val="nil"/>
            </w:tcBorders>
            <w:shd w:val="clear" w:color="auto" w:fill="auto"/>
            <w:noWrap/>
            <w:vAlign w:val="center"/>
          </w:tcPr>
          <w:p>
            <w:pPr>
              <w:jc w:val="center"/>
              <w:rPr>
                <w:rFonts w:ascii="宋体" w:eastAsia="宋体" w:cs="宋体" w:hint="eastAsia"/>
                <w:i w:val="0"/>
                <w:iCs w:val="0"/>
                <w:color w:val="000000"/>
                <w:sz w:val="24"/>
                <w:szCs w:val="24"/>
                <w:u w:val="none"/>
              </w:rPr>
            </w:pPr>
          </w:p>
        </w:tc>
        <w:tc>
          <w:tcPr>
            <w:tcW w:w="370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3602"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单位：万元</w:t>
            </w:r>
          </w:p>
        </w:tc>
      </w:tr>
      <w:tr>
        <w:trPr>
          <w:trHeight w:val="288"/>
        </w:trPr>
        <w:tc>
          <w:tcPr>
            <w:tcW w:w="456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    目</w:t>
            </w:r>
          </w:p>
        </w:tc>
        <w:tc>
          <w:tcPr>
            <w:tcW w:w="10672" w:type="dxa"/>
            <w:gridSpan w:val="3"/>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本年支出</w:t>
            </w:r>
          </w:p>
        </w:tc>
      </w:tr>
      <w:tr>
        <w:trPr>
          <w:trHeight w:val="288"/>
        </w:trPr>
        <w:tc>
          <w:tcPr>
            <w:tcW w:w="2469" w:type="dxa"/>
            <w:vMerge w:val="restar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科目代码</w:t>
            </w:r>
          </w:p>
        </w:tc>
        <w:tc>
          <w:tcPr>
            <w:tcW w:w="2095"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科目名称</w:t>
            </w:r>
          </w:p>
        </w:tc>
        <w:tc>
          <w:tcPr>
            <w:tcW w:w="3364"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合计</w:t>
            </w:r>
          </w:p>
        </w:tc>
        <w:tc>
          <w:tcPr>
            <w:tcW w:w="3706"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基本支出</w:t>
            </w:r>
          </w:p>
        </w:tc>
        <w:tc>
          <w:tcPr>
            <w:tcW w:w="3602"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项目支出</w:t>
            </w:r>
          </w:p>
        </w:tc>
      </w:tr>
      <w:tr>
        <w:trPr>
          <w:trHeight w:val="288"/>
        </w:trPr>
        <w:tc>
          <w:tcPr>
            <w:tcW w:w="2469" w:type="dxa"/>
            <w:vMerge/>
            <w:tcBorders>
              <w:top w:val="nil"/>
              <w:left w:val="single" w:sz="4" w:space="0" w:color="000000"/>
              <w:bottom w:val="single" w:sz="4" w:space="0" w:color="000000"/>
              <w:right w:val="single" w:sz="4" w:space="0" w:color="000000"/>
            </w:tcBorders>
            <w:shd w:val="clear" w:color="auto" w:fill="auto"/>
            <w:noWrap/>
            <w:vAlign w:val="center"/>
          </w:tcPr>
          <w:p/>
        </w:tc>
        <w:tc>
          <w:tcPr>
            <w:tcW w:w="2095" w:type="dxa"/>
            <w:vMerge/>
            <w:tcBorders>
              <w:top w:val="nil"/>
              <w:left w:val="nil"/>
              <w:bottom w:val="single" w:sz="4" w:space="0" w:color="000000"/>
              <w:right w:val="single" w:sz="4" w:space="0" w:color="000000"/>
            </w:tcBorders>
            <w:shd w:val="clear" w:color="auto" w:fill="auto"/>
            <w:noWrap/>
            <w:vAlign w:val="center"/>
          </w:tcPr>
          <w:p/>
        </w:tc>
        <w:tc>
          <w:tcPr>
            <w:tcW w:w="3364" w:type="dxa"/>
            <w:vMerge/>
            <w:tcBorders>
              <w:top w:val="nil"/>
              <w:left w:val="nil"/>
              <w:bottom w:val="single" w:sz="4" w:space="0" w:color="000000"/>
              <w:right w:val="single" w:sz="4" w:space="0" w:color="000000"/>
            </w:tcBorders>
            <w:shd w:val="clear" w:color="auto" w:fill="auto"/>
            <w:noWrap/>
            <w:vAlign w:val="center"/>
          </w:tcPr>
          <w:p/>
        </w:tc>
        <w:tc>
          <w:tcPr>
            <w:tcW w:w="3706" w:type="dxa"/>
            <w:vMerge/>
            <w:tcBorders>
              <w:top w:val="nil"/>
              <w:left w:val="nil"/>
              <w:bottom w:val="single" w:sz="4" w:space="0" w:color="000000"/>
              <w:right w:val="single" w:sz="4" w:space="0" w:color="000000"/>
            </w:tcBorders>
            <w:shd w:val="clear" w:color="auto" w:fill="auto"/>
            <w:noWrap/>
            <w:vAlign w:val="center"/>
          </w:tcPr>
          <w:p/>
        </w:tc>
        <w:tc>
          <w:tcPr>
            <w:tcW w:w="3602" w:type="dxa"/>
            <w:vMerge/>
            <w:tcBorders>
              <w:top w:val="nil"/>
              <w:left w:val="nil"/>
              <w:bottom w:val="single" w:sz="4" w:space="0" w:color="000000"/>
              <w:right w:val="single" w:sz="4" w:space="0" w:color="000000"/>
            </w:tcBorders>
            <w:shd w:val="clear" w:color="auto" w:fill="auto"/>
            <w:noWrap/>
            <w:vAlign w:val="center"/>
          </w:tcPr>
          <w:p/>
        </w:tc>
      </w:tr>
      <w:tr>
        <w:trPr>
          <w:trHeight w:val="288"/>
        </w:trPr>
        <w:tc>
          <w:tcPr>
            <w:tcW w:w="2469" w:type="dxa"/>
            <w:vMerge/>
            <w:tcBorders>
              <w:top w:val="nil"/>
              <w:left w:val="single" w:sz="4" w:space="0" w:color="000000"/>
              <w:bottom w:val="single" w:sz="4" w:space="0" w:color="000000"/>
              <w:right w:val="single" w:sz="4" w:space="0" w:color="000000"/>
            </w:tcBorders>
            <w:shd w:val="clear" w:color="auto" w:fill="auto"/>
            <w:noWrap/>
            <w:vAlign w:val="center"/>
          </w:tcPr>
          <w:p/>
        </w:tc>
        <w:tc>
          <w:tcPr>
            <w:tcW w:w="2095" w:type="dxa"/>
            <w:vMerge/>
            <w:tcBorders>
              <w:top w:val="nil"/>
              <w:left w:val="nil"/>
              <w:bottom w:val="single" w:sz="4" w:space="0" w:color="000000"/>
              <w:right w:val="single" w:sz="4" w:space="0" w:color="000000"/>
            </w:tcBorders>
            <w:shd w:val="clear" w:color="auto" w:fill="auto"/>
            <w:noWrap/>
            <w:vAlign w:val="center"/>
          </w:tcPr>
          <w:p/>
        </w:tc>
        <w:tc>
          <w:tcPr>
            <w:tcW w:w="3364" w:type="dxa"/>
            <w:vMerge/>
            <w:tcBorders>
              <w:top w:val="nil"/>
              <w:left w:val="nil"/>
              <w:bottom w:val="single" w:sz="4" w:space="0" w:color="000000"/>
              <w:right w:val="single" w:sz="4" w:space="0" w:color="000000"/>
            </w:tcBorders>
            <w:shd w:val="clear" w:color="auto" w:fill="auto"/>
            <w:noWrap/>
            <w:vAlign w:val="center"/>
          </w:tcPr>
          <w:p/>
        </w:tc>
        <w:tc>
          <w:tcPr>
            <w:tcW w:w="3706" w:type="dxa"/>
            <w:vMerge/>
            <w:tcBorders>
              <w:top w:val="nil"/>
              <w:left w:val="nil"/>
              <w:bottom w:val="single" w:sz="4" w:space="0" w:color="000000"/>
              <w:right w:val="single" w:sz="4" w:space="0" w:color="000000"/>
            </w:tcBorders>
            <w:shd w:val="clear" w:color="auto" w:fill="auto"/>
            <w:noWrap/>
            <w:vAlign w:val="center"/>
          </w:tcPr>
          <w:p/>
        </w:tc>
        <w:tc>
          <w:tcPr>
            <w:tcW w:w="3602" w:type="dxa"/>
            <w:vMerge/>
            <w:tcBorders>
              <w:top w:val="nil"/>
              <w:left w:val="nil"/>
              <w:bottom w:val="single" w:sz="4" w:space="0" w:color="000000"/>
              <w:right w:val="single" w:sz="4" w:space="0" w:color="000000"/>
            </w:tcBorders>
            <w:shd w:val="clear" w:color="auto" w:fill="auto"/>
            <w:noWrap/>
            <w:vAlign w:val="center"/>
          </w:tcPr>
          <w:p/>
        </w:tc>
      </w:tr>
      <w:tr>
        <w:trPr>
          <w:trHeight w:val="312"/>
        </w:trPr>
        <w:tc>
          <w:tcPr>
            <w:tcW w:w="4564"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栏次</w:t>
            </w:r>
          </w:p>
        </w:tc>
        <w:tc>
          <w:tcPr>
            <w:tcW w:w="336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w:t>
            </w:r>
          </w:p>
        </w:tc>
        <w:tc>
          <w:tcPr>
            <w:tcW w:w="370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w:t>
            </w:r>
          </w:p>
        </w:tc>
        <w:tc>
          <w:tcPr>
            <w:tcW w:w="36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w:t>
            </w:r>
          </w:p>
        </w:tc>
      </w:tr>
      <w:tr>
        <w:trPr>
          <w:trHeight w:val="312"/>
        </w:trPr>
        <w:tc>
          <w:tcPr>
            <w:tcW w:w="4564"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合计</w:t>
            </w:r>
          </w:p>
        </w:tc>
        <w:tc>
          <w:tcPr>
            <w:tcW w:w="336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370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360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312"/>
        </w:trPr>
        <w:tc>
          <w:tcPr>
            <w:tcW w:w="2469"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2095"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336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370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c>
          <w:tcPr>
            <w:tcW w:w="360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312"/>
        </w:trPr>
        <w:tc>
          <w:tcPr>
            <w:tcW w:w="15236"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注：本表反映部门本年度国有资本经营预算财政拨款支出情况。</w:t>
            </w:r>
          </w:p>
        </w:tc>
      </w:tr>
      <w:tr>
        <w:trPr>
          <w:trHeight w:val="312"/>
        </w:trPr>
        <w:tc>
          <w:tcPr>
            <w:tcW w:w="15236" w:type="dxa"/>
            <w:gridSpan w:val="5"/>
            <w:tcBorders>
              <w:top w:val="nil"/>
              <w:left w:val="nil"/>
              <w:bottom w:val="nil"/>
              <w:right w:val="nil"/>
            </w:tcBorders>
            <w:shd w:val="clear" w:color="auto" w:fill="auto"/>
            <w:noWrap/>
            <w:vAlign w:val="center"/>
          </w:tcPr>
          <w:p>
            <w:pPr>
              <w:keepNext w:val="0"/>
              <w:keepLines w:val="0"/>
              <w:widowControl/>
              <w:suppressLineNumbers w:val="0"/>
              <w:ind w:firstLineChars="200" w:firstLine="440"/>
              <w:jc w:val="left"/>
              <w:textAlignment w:val="center"/>
              <w:rPr>
                <w:rFonts w:ascii="宋体" w:eastAsia="宋体" w:cs="宋体" w:hint="eastAsia"/>
                <w:i w:val="0"/>
                <w:iCs w:val="0"/>
                <w:color w:val="000000"/>
                <w:kern w:val="0"/>
                <w:sz w:val="24"/>
                <w:szCs w:val="24"/>
                <w:u w:val="none"/>
                <w:lang w:val="en-US" w:eastAsia="zh-CN"/>
              </w:rPr>
            </w:pPr>
            <w:r>
              <w:rPr>
                <w:rFonts w:ascii="宋体" w:cs="宋体" w:hint="eastAsia"/>
                <w:i w:val="0"/>
                <w:iCs w:val="0"/>
                <w:color w:val="000000"/>
                <w:kern w:val="0"/>
                <w:sz w:val="22"/>
                <w:szCs w:val="22"/>
                <w:u w:val="none"/>
                <w:lang w:val="en-US" w:eastAsia="zh-CN"/>
              </w:rPr>
              <w:t>额布都格海关本年度无国有资本经营预算财政拨款支出。</w:t>
            </w:r>
          </w:p>
        </w:tc>
      </w:tr>
    </w:tbl>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tbl>
      <w:tblPr>
        <w:tblpPr w:leftFromText="180" w:rightFromText="180" w:vertAnchor="text" w:horzAnchor="page" w:tblpX="1371" w:tblpY="32"/>
        <w:tblOverlap w:val="never"/>
        <w:tblW w:w="14916"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555"/>
        <w:gridCol w:w="864"/>
        <w:gridCol w:w="671"/>
        <w:gridCol w:w="1215"/>
        <w:gridCol w:w="1329"/>
        <w:gridCol w:w="824"/>
        <w:gridCol w:w="717"/>
        <w:gridCol w:w="648"/>
        <w:gridCol w:w="732"/>
        <w:gridCol w:w="2867"/>
        <w:gridCol w:w="2518"/>
        <w:gridCol w:w="1976"/>
      </w:tblGrid>
      <w:tr>
        <w:trPr>
          <w:trHeight w:val="596"/>
        </w:trPr>
        <w:tc>
          <w:tcPr>
            <w:tcW w:w="14916" w:type="dxa"/>
            <w:gridSpan w:val="1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44"/>
                <w:szCs w:val="44"/>
                <w:u w:val="none"/>
              </w:rPr>
            </w:pPr>
            <w:r>
              <w:rPr>
                <w:rFonts w:ascii="宋体" w:eastAsia="宋体" w:cs="宋体" w:hint="eastAsia"/>
                <w:i w:val="0"/>
                <w:iCs w:val="0"/>
                <w:color w:val="000000"/>
                <w:kern w:val="0"/>
                <w:sz w:val="44"/>
                <w:szCs w:val="44"/>
                <w:u w:val="none"/>
                <w:lang w:val="en-US" w:eastAsia="zh-CN"/>
              </w:rPr>
              <w:t>财政拨款“三公经费”支出决算表</w:t>
            </w:r>
          </w:p>
        </w:tc>
      </w:tr>
      <w:tr>
        <w:trPr>
          <w:trHeight w:val="326"/>
        </w:trPr>
        <w:tc>
          <w:tcPr>
            <w:tcW w:w="55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86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67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21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32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82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717"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64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7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2867"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251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976"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公开09表</w:t>
            </w:r>
          </w:p>
        </w:tc>
      </w:tr>
      <w:tr>
        <w:trPr>
          <w:trHeight w:val="326"/>
        </w:trPr>
        <w:tc>
          <w:tcPr>
            <w:tcW w:w="5458" w:type="dxa"/>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部门：中华人民共和国额布都格海关</w:t>
            </w:r>
          </w:p>
        </w:tc>
        <w:tc>
          <w:tcPr>
            <w:tcW w:w="717" w:type="dxa"/>
            <w:tcBorders>
              <w:top w:val="nil"/>
              <w:left w:val="nil"/>
              <w:bottom w:val="nil"/>
              <w:right w:val="nil"/>
            </w:tcBorders>
            <w:shd w:val="clear" w:color="auto" w:fill="auto"/>
            <w:noWrap/>
            <w:vAlign w:val="center"/>
          </w:tcPr>
          <w:p>
            <w:pPr>
              <w:jc w:val="center"/>
              <w:rPr>
                <w:rFonts w:ascii="宋体" w:eastAsia="宋体" w:cs="宋体" w:hint="eastAsia"/>
                <w:i w:val="0"/>
                <w:iCs w:val="0"/>
                <w:color w:val="000000"/>
                <w:sz w:val="24"/>
                <w:szCs w:val="24"/>
                <w:u w:val="none"/>
              </w:rPr>
            </w:pPr>
          </w:p>
        </w:tc>
        <w:tc>
          <w:tcPr>
            <w:tcW w:w="64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7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2867"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251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976"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单位：万元</w:t>
            </w:r>
          </w:p>
        </w:tc>
      </w:tr>
      <w:tr>
        <w:trPr>
          <w:trHeight w:val="321"/>
        </w:trPr>
        <w:tc>
          <w:tcPr>
            <w:tcW w:w="5458"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预算数</w:t>
            </w:r>
          </w:p>
        </w:tc>
        <w:tc>
          <w:tcPr>
            <w:tcW w:w="9458" w:type="dxa"/>
            <w:gridSpan w:val="6"/>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决算数</w:t>
            </w:r>
          </w:p>
        </w:tc>
      </w:tr>
      <w:tr>
        <w:trPr>
          <w:trHeight w:val="392"/>
        </w:trPr>
        <w:tc>
          <w:tcPr>
            <w:tcW w:w="555" w:type="dxa"/>
            <w:vMerge w:val="restar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合计</w:t>
            </w:r>
          </w:p>
        </w:tc>
        <w:tc>
          <w:tcPr>
            <w:tcW w:w="864"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因公出国 （境）费</w:t>
            </w:r>
          </w:p>
        </w:tc>
        <w:tc>
          <w:tcPr>
            <w:tcW w:w="3215" w:type="dxa"/>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公务用车购置及运行维护费</w:t>
            </w:r>
          </w:p>
        </w:tc>
        <w:tc>
          <w:tcPr>
            <w:tcW w:w="824"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公务接待费</w:t>
            </w:r>
          </w:p>
        </w:tc>
        <w:tc>
          <w:tcPr>
            <w:tcW w:w="717"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合计</w:t>
            </w:r>
          </w:p>
        </w:tc>
        <w:tc>
          <w:tcPr>
            <w:tcW w:w="648"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因公出国 （境）费</w:t>
            </w:r>
          </w:p>
        </w:tc>
        <w:tc>
          <w:tcPr>
            <w:tcW w:w="6117" w:type="dxa"/>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公务用车购置及运行维护费</w:t>
            </w:r>
          </w:p>
        </w:tc>
        <w:tc>
          <w:tcPr>
            <w:tcW w:w="1976"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公务接待费</w:t>
            </w:r>
          </w:p>
        </w:tc>
      </w:tr>
      <w:tr>
        <w:trPr>
          <w:trHeight w:val="321"/>
        </w:trPr>
        <w:tc>
          <w:tcPr>
            <w:tcW w:w="555" w:type="dxa"/>
            <w:vMerge/>
            <w:tcBorders>
              <w:top w:val="nil"/>
              <w:left w:val="single" w:sz="4" w:space="0" w:color="000000"/>
              <w:bottom w:val="single" w:sz="4" w:space="0" w:color="000000"/>
              <w:right w:val="single" w:sz="4" w:space="0" w:color="000000"/>
            </w:tcBorders>
            <w:shd w:val="clear" w:color="auto" w:fill="auto"/>
            <w:noWrap/>
            <w:vAlign w:val="center"/>
          </w:tcPr>
          <w:p/>
        </w:tc>
        <w:tc>
          <w:tcPr>
            <w:tcW w:w="864" w:type="dxa"/>
            <w:vMerge/>
            <w:tcBorders>
              <w:top w:val="nil"/>
              <w:left w:val="nil"/>
              <w:bottom w:val="single" w:sz="4" w:space="0" w:color="000000"/>
              <w:right w:val="single" w:sz="4" w:space="0" w:color="000000"/>
            </w:tcBorders>
            <w:shd w:val="clear" w:color="auto" w:fill="auto"/>
            <w:noWrap/>
            <w:vAlign w:val="center"/>
          </w:tcPr>
          <w:p/>
        </w:tc>
        <w:tc>
          <w:tcPr>
            <w:tcW w:w="671"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小计 </w:t>
            </w:r>
          </w:p>
        </w:tc>
        <w:tc>
          <w:tcPr>
            <w:tcW w:w="1215"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公务用车购置费</w:t>
            </w:r>
          </w:p>
        </w:tc>
        <w:tc>
          <w:tcPr>
            <w:tcW w:w="1329"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公务用车运行维护费</w:t>
            </w:r>
          </w:p>
        </w:tc>
        <w:tc>
          <w:tcPr>
            <w:tcW w:w="824" w:type="dxa"/>
            <w:vMerge/>
            <w:tcBorders>
              <w:top w:val="nil"/>
              <w:left w:val="nil"/>
              <w:bottom w:val="single" w:sz="4" w:space="0" w:color="000000"/>
              <w:right w:val="single" w:sz="4" w:space="0" w:color="000000"/>
            </w:tcBorders>
            <w:shd w:val="clear" w:color="auto" w:fill="auto"/>
            <w:noWrap/>
            <w:vAlign w:val="center"/>
          </w:tcPr>
          <w:p/>
        </w:tc>
        <w:tc>
          <w:tcPr>
            <w:tcW w:w="717" w:type="dxa"/>
            <w:vMerge/>
            <w:tcBorders>
              <w:top w:val="nil"/>
              <w:left w:val="nil"/>
              <w:bottom w:val="single" w:sz="4" w:space="0" w:color="000000"/>
              <w:right w:val="single" w:sz="4" w:space="0" w:color="000000"/>
            </w:tcBorders>
            <w:shd w:val="clear" w:color="auto" w:fill="auto"/>
            <w:noWrap/>
            <w:vAlign w:val="center"/>
          </w:tcPr>
          <w:p/>
        </w:tc>
        <w:tc>
          <w:tcPr>
            <w:tcW w:w="648" w:type="dxa"/>
            <w:vMerge/>
            <w:tcBorders>
              <w:top w:val="nil"/>
              <w:left w:val="nil"/>
              <w:bottom w:val="single" w:sz="4" w:space="0" w:color="000000"/>
              <w:right w:val="single" w:sz="4" w:space="0" w:color="000000"/>
            </w:tcBorders>
            <w:shd w:val="clear" w:color="auto" w:fill="auto"/>
            <w:noWrap/>
            <w:vAlign w:val="center"/>
          </w:tcPr>
          <w:p/>
        </w:tc>
        <w:tc>
          <w:tcPr>
            <w:tcW w:w="732"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小计 </w:t>
            </w:r>
          </w:p>
        </w:tc>
        <w:tc>
          <w:tcPr>
            <w:tcW w:w="2867"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公务用车购置费</w:t>
            </w:r>
          </w:p>
        </w:tc>
        <w:tc>
          <w:tcPr>
            <w:tcW w:w="2518"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公务用车运行维护费</w:t>
            </w:r>
          </w:p>
        </w:tc>
        <w:tc>
          <w:tcPr>
            <w:tcW w:w="1976" w:type="dxa"/>
            <w:vMerge/>
            <w:tcBorders>
              <w:top w:val="nil"/>
              <w:left w:val="nil"/>
              <w:bottom w:val="single" w:sz="4" w:space="0" w:color="000000"/>
              <w:right w:val="single" w:sz="4" w:space="0" w:color="000000"/>
            </w:tcBorders>
            <w:shd w:val="clear" w:color="auto" w:fill="auto"/>
            <w:noWrap/>
            <w:vAlign w:val="center"/>
          </w:tcPr>
          <w:p/>
        </w:tc>
      </w:tr>
      <w:tr>
        <w:trPr>
          <w:trHeight w:val="321"/>
        </w:trPr>
        <w:tc>
          <w:tcPr>
            <w:tcW w:w="555" w:type="dxa"/>
            <w:vMerge/>
            <w:tcBorders>
              <w:top w:val="nil"/>
              <w:left w:val="single" w:sz="4" w:space="0" w:color="000000"/>
              <w:bottom w:val="single" w:sz="4" w:space="0" w:color="000000"/>
              <w:right w:val="single" w:sz="4" w:space="0" w:color="000000"/>
            </w:tcBorders>
            <w:shd w:val="clear" w:color="auto" w:fill="auto"/>
            <w:noWrap/>
            <w:vAlign w:val="center"/>
          </w:tcPr>
          <w:p/>
        </w:tc>
        <w:tc>
          <w:tcPr>
            <w:tcW w:w="864" w:type="dxa"/>
            <w:vMerge/>
            <w:tcBorders>
              <w:top w:val="nil"/>
              <w:left w:val="nil"/>
              <w:bottom w:val="single" w:sz="4" w:space="0" w:color="000000"/>
              <w:right w:val="single" w:sz="4" w:space="0" w:color="000000"/>
            </w:tcBorders>
            <w:shd w:val="clear" w:color="auto" w:fill="auto"/>
            <w:noWrap/>
            <w:vAlign w:val="center"/>
          </w:tcPr>
          <w:p/>
        </w:tc>
        <w:tc>
          <w:tcPr>
            <w:tcW w:w="671" w:type="dxa"/>
            <w:vMerge/>
            <w:tcBorders>
              <w:top w:val="nil"/>
              <w:left w:val="nil"/>
              <w:bottom w:val="single" w:sz="4" w:space="0" w:color="000000"/>
              <w:right w:val="single" w:sz="4" w:space="0" w:color="000000"/>
            </w:tcBorders>
            <w:shd w:val="clear" w:color="auto" w:fill="auto"/>
            <w:noWrap/>
            <w:vAlign w:val="center"/>
          </w:tcPr>
          <w:p/>
        </w:tc>
        <w:tc>
          <w:tcPr>
            <w:tcW w:w="1215" w:type="dxa"/>
            <w:vMerge/>
            <w:tcBorders>
              <w:top w:val="nil"/>
              <w:left w:val="nil"/>
              <w:bottom w:val="single" w:sz="4" w:space="0" w:color="000000"/>
              <w:right w:val="single" w:sz="4" w:space="0" w:color="000000"/>
            </w:tcBorders>
            <w:shd w:val="clear" w:color="auto" w:fill="auto"/>
            <w:noWrap/>
            <w:vAlign w:val="center"/>
          </w:tcPr>
          <w:p/>
        </w:tc>
        <w:tc>
          <w:tcPr>
            <w:tcW w:w="1329" w:type="dxa"/>
            <w:vMerge/>
            <w:tcBorders>
              <w:top w:val="nil"/>
              <w:left w:val="nil"/>
              <w:bottom w:val="single" w:sz="4" w:space="0" w:color="000000"/>
              <w:right w:val="single" w:sz="4" w:space="0" w:color="000000"/>
            </w:tcBorders>
            <w:shd w:val="clear" w:color="auto" w:fill="auto"/>
            <w:noWrap/>
            <w:vAlign w:val="center"/>
          </w:tcPr>
          <w:p/>
        </w:tc>
        <w:tc>
          <w:tcPr>
            <w:tcW w:w="824" w:type="dxa"/>
            <w:vMerge/>
            <w:tcBorders>
              <w:top w:val="nil"/>
              <w:left w:val="nil"/>
              <w:bottom w:val="single" w:sz="4" w:space="0" w:color="000000"/>
              <w:right w:val="single" w:sz="4" w:space="0" w:color="000000"/>
            </w:tcBorders>
            <w:shd w:val="clear" w:color="auto" w:fill="auto"/>
            <w:noWrap/>
            <w:vAlign w:val="center"/>
          </w:tcPr>
          <w:p/>
        </w:tc>
        <w:tc>
          <w:tcPr>
            <w:tcW w:w="717" w:type="dxa"/>
            <w:vMerge/>
            <w:tcBorders>
              <w:top w:val="nil"/>
              <w:left w:val="nil"/>
              <w:bottom w:val="single" w:sz="4" w:space="0" w:color="000000"/>
              <w:right w:val="single" w:sz="4" w:space="0" w:color="000000"/>
            </w:tcBorders>
            <w:shd w:val="clear" w:color="auto" w:fill="auto"/>
            <w:noWrap/>
            <w:vAlign w:val="center"/>
          </w:tcPr>
          <w:p/>
        </w:tc>
        <w:tc>
          <w:tcPr>
            <w:tcW w:w="648" w:type="dxa"/>
            <w:vMerge/>
            <w:tcBorders>
              <w:top w:val="nil"/>
              <w:left w:val="nil"/>
              <w:bottom w:val="single" w:sz="4" w:space="0" w:color="000000"/>
              <w:right w:val="single" w:sz="4" w:space="0" w:color="000000"/>
            </w:tcBorders>
            <w:shd w:val="clear" w:color="auto" w:fill="auto"/>
            <w:noWrap/>
            <w:vAlign w:val="center"/>
          </w:tcPr>
          <w:p/>
        </w:tc>
        <w:tc>
          <w:tcPr>
            <w:tcW w:w="732" w:type="dxa"/>
            <w:vMerge/>
            <w:tcBorders>
              <w:top w:val="nil"/>
              <w:left w:val="nil"/>
              <w:bottom w:val="single" w:sz="4" w:space="0" w:color="000000"/>
              <w:right w:val="single" w:sz="4" w:space="0" w:color="000000"/>
            </w:tcBorders>
            <w:shd w:val="clear" w:color="auto" w:fill="auto"/>
            <w:noWrap/>
            <w:vAlign w:val="center"/>
          </w:tcPr>
          <w:p/>
        </w:tc>
        <w:tc>
          <w:tcPr>
            <w:tcW w:w="2867" w:type="dxa"/>
            <w:vMerge/>
            <w:tcBorders>
              <w:top w:val="nil"/>
              <w:left w:val="nil"/>
              <w:bottom w:val="single" w:sz="4" w:space="0" w:color="000000"/>
              <w:right w:val="single" w:sz="4" w:space="0" w:color="000000"/>
            </w:tcBorders>
            <w:shd w:val="clear" w:color="auto" w:fill="auto"/>
            <w:noWrap/>
            <w:vAlign w:val="center"/>
          </w:tcPr>
          <w:p/>
        </w:tc>
        <w:tc>
          <w:tcPr>
            <w:tcW w:w="2518" w:type="dxa"/>
            <w:vMerge/>
            <w:tcBorders>
              <w:top w:val="nil"/>
              <w:left w:val="nil"/>
              <w:bottom w:val="single" w:sz="4" w:space="0" w:color="000000"/>
              <w:right w:val="single" w:sz="4" w:space="0" w:color="000000"/>
            </w:tcBorders>
            <w:shd w:val="clear" w:color="auto" w:fill="auto"/>
            <w:noWrap/>
            <w:vAlign w:val="center"/>
          </w:tcPr>
          <w:p/>
        </w:tc>
        <w:tc>
          <w:tcPr>
            <w:tcW w:w="1976" w:type="dxa"/>
            <w:vMerge/>
            <w:tcBorders>
              <w:top w:val="nil"/>
              <w:left w:val="nil"/>
              <w:bottom w:val="single" w:sz="4" w:space="0" w:color="000000"/>
              <w:right w:val="single" w:sz="4" w:space="0" w:color="000000"/>
            </w:tcBorders>
            <w:shd w:val="clear" w:color="auto" w:fill="auto"/>
            <w:noWrap/>
            <w:vAlign w:val="center"/>
          </w:tcPr>
          <w:p/>
        </w:tc>
      </w:tr>
      <w:tr>
        <w:trPr>
          <w:trHeight w:val="321"/>
        </w:trPr>
        <w:tc>
          <w:tcPr>
            <w:tcW w:w="555"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w:t>
            </w:r>
          </w:p>
        </w:tc>
        <w:tc>
          <w:tcPr>
            <w:tcW w:w="86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w:t>
            </w:r>
          </w:p>
        </w:tc>
        <w:tc>
          <w:tcPr>
            <w:tcW w:w="67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w:t>
            </w:r>
          </w:p>
        </w:tc>
        <w:tc>
          <w:tcPr>
            <w:tcW w:w="121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w:t>
            </w:r>
          </w:p>
        </w:tc>
        <w:tc>
          <w:tcPr>
            <w:tcW w:w="132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c>
          <w:tcPr>
            <w:tcW w:w="82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w:t>
            </w:r>
          </w:p>
        </w:tc>
        <w:tc>
          <w:tcPr>
            <w:tcW w:w="71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7</w:t>
            </w:r>
          </w:p>
        </w:tc>
        <w:tc>
          <w:tcPr>
            <w:tcW w:w="64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w:t>
            </w:r>
          </w:p>
        </w:tc>
        <w:tc>
          <w:tcPr>
            <w:tcW w:w="73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w:t>
            </w:r>
          </w:p>
        </w:tc>
        <w:tc>
          <w:tcPr>
            <w:tcW w:w="286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c>
          <w:tcPr>
            <w:tcW w:w="251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11</w:t>
            </w:r>
          </w:p>
        </w:tc>
        <w:tc>
          <w:tcPr>
            <w:tcW w:w="197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12</w:t>
            </w:r>
          </w:p>
        </w:tc>
      </w:tr>
      <w:tr>
        <w:trPr>
          <w:trHeight w:val="321"/>
        </w:trPr>
        <w:tc>
          <w:tcPr>
            <w:tcW w:w="555"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9.60</w:t>
            </w:r>
          </w:p>
        </w:tc>
        <w:tc>
          <w:tcPr>
            <w:tcW w:w="86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67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9.60</w:t>
            </w:r>
          </w:p>
        </w:tc>
        <w:tc>
          <w:tcPr>
            <w:tcW w:w="121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2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9.60</w:t>
            </w:r>
          </w:p>
        </w:tc>
        <w:tc>
          <w:tcPr>
            <w:tcW w:w="82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71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9.40</w:t>
            </w:r>
          </w:p>
        </w:tc>
        <w:tc>
          <w:tcPr>
            <w:tcW w:w="64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73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9.40</w:t>
            </w:r>
          </w:p>
        </w:tc>
        <w:tc>
          <w:tcPr>
            <w:tcW w:w="286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51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9.40</w:t>
            </w:r>
          </w:p>
        </w:tc>
        <w:tc>
          <w:tcPr>
            <w:tcW w:w="197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21"/>
        </w:trPr>
        <w:tc>
          <w:tcPr>
            <w:tcW w:w="14916" w:type="dxa"/>
            <w:gridSpan w:val="12"/>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pStyle w:val="15"/>
      </w:pPr>
    </w:p>
    <w:p>
      <w:pPr>
        <w:pStyle w:val="15"/>
      </w:pPr>
    </w:p>
    <w:p>
      <w:pPr>
        <w:pStyle w:val="15"/>
      </w:pPr>
    </w:p>
    <w:p>
      <w:pPr>
        <w:pStyle w:val="15"/>
      </w:pPr>
    </w:p>
    <w:p>
      <w:pPr>
        <w:pStyle w:val="15"/>
      </w:pPr>
    </w:p>
    <w:p>
      <w:pPr>
        <w:spacing w:line="560" w:lineRule="exact"/>
      </w:pPr>
    </w:p>
    <w:p>
      <w:pPr>
        <w:pStyle w:val="15"/>
      </w:pPr>
    </w:p>
    <w:p>
      <w:pPr>
        <w:spacing w:line="560" w:lineRule="exact"/>
        <w:rPr>
          <w:b/>
          <w:bCs/>
          <w:sz w:val="28"/>
          <w:szCs w:val="28"/>
        </w:rPr>
        <w:sectPr>
          <w:pgSz w:w="16840" w:h="11907" w:orient="landscape"/>
          <w:pgMar w:top="1701" w:right="1440" w:bottom="1701" w:left="1440" w:header="851" w:footer="992" w:gutter="0"/>
          <w:docGrid w:linePitch="312" w:charSpace="0"/>
        </w:sectPr>
      </w:pPr>
    </w:p>
    <w:p>
      <w:pPr>
        <w:autoSpaceDN w:val="0"/>
        <w:spacing w:line="560" w:lineRule="exact"/>
        <w:rPr>
          <w:rFonts w:eastAsia="方正黑体_GBK" w:cs="方正黑体_GBK" w:hint="eastAsia"/>
          <w:sz w:val="32"/>
          <w:szCs w:val="32"/>
          <w:lang w:eastAsia="zh-CN"/>
        </w:rPr>
      </w:pPr>
    </w:p>
    <w:p>
      <w:pPr>
        <w:autoSpaceDN w:val="0"/>
        <w:spacing w:line="560" w:lineRule="exact"/>
        <w:rPr>
          <w:rFonts w:eastAsia="方正黑体_GBK" w:cs="方正黑体_GBK" w:hint="eastAsia"/>
          <w:sz w:val="32"/>
          <w:szCs w:val="32"/>
          <w:lang w:eastAsia="zh-CN"/>
        </w:rPr>
      </w:pPr>
    </w:p>
    <w:p>
      <w:pPr>
        <w:autoSpaceDN w:val="0"/>
        <w:spacing w:line="560" w:lineRule="exact"/>
        <w:rPr>
          <w:rFonts w:eastAsia="方正黑体_GBK" w:cs="方正黑体_GBK" w:hint="eastAsia"/>
          <w:sz w:val="32"/>
          <w:szCs w:val="32"/>
          <w:lang w:eastAsia="zh-CN"/>
        </w:rPr>
      </w:pPr>
    </w:p>
    <w:p>
      <w:pPr>
        <w:autoSpaceDN w:val="0"/>
        <w:spacing w:line="560" w:lineRule="exact"/>
        <w:rPr>
          <w:rFonts w:eastAsia="方正黑体_GBK" w:cs="方正黑体_GBK" w:hint="eastAsia"/>
          <w:sz w:val="32"/>
          <w:szCs w:val="32"/>
          <w:lang w:eastAsia="zh-CN"/>
        </w:rPr>
      </w:pPr>
    </w:p>
    <w:p>
      <w:pPr>
        <w:autoSpaceDN w:val="0"/>
        <w:spacing w:line="560" w:lineRule="exact"/>
        <w:rPr>
          <w:rFonts w:eastAsia="方正黑体_GBK" w:cs="方正黑体_GBK" w:hint="eastAsia"/>
          <w:sz w:val="32"/>
          <w:szCs w:val="32"/>
          <w:lang w:eastAsia="zh-CN"/>
        </w:rPr>
      </w:pPr>
    </w:p>
    <w:p>
      <w:pPr>
        <w:autoSpaceDN w:val="0"/>
        <w:spacing w:line="560" w:lineRule="exact"/>
        <w:rPr>
          <w:rFonts w:eastAsia="方正黑体_GBK" w:cs="方正黑体_GBK" w:hint="eastAsia"/>
          <w:sz w:val="32"/>
          <w:szCs w:val="32"/>
          <w:lang w:eastAsia="zh-CN"/>
        </w:rPr>
      </w:pPr>
    </w:p>
    <w:p>
      <w:pPr>
        <w:autoSpaceDN w:val="0"/>
        <w:spacing w:line="560" w:lineRule="exact"/>
        <w:rPr>
          <w:rFonts w:eastAsia="方正黑体_GBK" w:cs="方正黑体_GBK" w:hint="eastAsia"/>
          <w:sz w:val="32"/>
          <w:szCs w:val="32"/>
          <w:lang w:eastAsia="zh-CN"/>
        </w:rPr>
      </w:pPr>
    </w:p>
    <w:p>
      <w:pPr>
        <w:autoSpaceDN w:val="0"/>
        <w:spacing w:line="560" w:lineRule="exact"/>
        <w:rPr>
          <w:rFonts w:eastAsia="方正黑体_GBK" w:cs="方正黑体_GBK" w:hint="eastAsia"/>
          <w:sz w:val="32"/>
          <w:szCs w:val="32"/>
          <w:lang w:eastAsia="zh-CN"/>
        </w:rPr>
      </w:pPr>
    </w:p>
    <w:p>
      <w:pPr>
        <w:autoSpaceDN w:val="0"/>
        <w:spacing w:line="560" w:lineRule="exact"/>
        <w:rPr>
          <w:rFonts w:eastAsia="方正黑体_GBK" w:cs="方正黑体_GBK" w:hint="eastAsia"/>
          <w:sz w:val="32"/>
          <w:szCs w:val="32"/>
          <w:lang w:eastAsia="zh-CN"/>
        </w:rPr>
      </w:pPr>
    </w:p>
    <w:p>
      <w:pPr>
        <w:autoSpaceDN w:val="0"/>
        <w:spacing w:line="560" w:lineRule="exact"/>
        <w:rPr>
          <w:rFonts w:eastAsia="方正黑体_GBK" w:cs="方正黑体_GBK" w:hint="eastAsia"/>
          <w:sz w:val="32"/>
          <w:szCs w:val="32"/>
          <w:lang w:eastAsia="zh-CN"/>
        </w:rPr>
      </w:pPr>
    </w:p>
    <w:p>
      <w:pPr>
        <w:autoSpaceDN w:val="0"/>
        <w:spacing w:line="560" w:lineRule="exact"/>
        <w:rPr>
          <w:rFonts w:eastAsia="方正黑体_GBK"/>
          <w:sz w:val="52"/>
          <w:szCs w:val="52"/>
        </w:rPr>
      </w:pPr>
      <w:r>
        <w:rPr>
          <w:rFonts w:eastAsia="方正黑体_GBK" w:cs="方正黑体_GBK" w:hint="eastAsia"/>
          <w:sz w:val="52"/>
          <w:szCs w:val="52"/>
          <w:lang w:eastAsia="zh-CN"/>
        </w:rPr>
        <w:t>第三部分</w:t>
      </w:r>
      <w:r>
        <w:rPr>
          <w:rFonts w:eastAsia="方正黑体_GBK" w:cs="方正黑体_GBK" w:hint="eastAsia"/>
          <w:sz w:val="52"/>
          <w:szCs w:val="52"/>
          <w:lang w:val="en-US" w:eastAsia="zh-CN"/>
        </w:rPr>
        <w:t xml:space="preserve"> </w:t>
      </w:r>
      <w:r>
        <w:rPr>
          <w:rFonts w:eastAsia="方正黑体_GBK"/>
          <w:sz w:val="52"/>
          <w:szCs w:val="52"/>
        </w:rPr>
        <w:t>202</w:t>
      </w:r>
      <w:r>
        <w:rPr>
          <w:rFonts w:eastAsia="方正黑体_GBK" w:hint="eastAsia"/>
          <w:sz w:val="52"/>
          <w:szCs w:val="52"/>
          <w:lang w:val="en-US" w:eastAsia="zh-CN"/>
        </w:rPr>
        <w:t>5</w:t>
      </w:r>
      <w:r>
        <w:rPr>
          <w:rFonts w:eastAsia="方正黑体_GBK" w:cs="方正黑体_GBK" w:hint="eastAsia"/>
          <w:sz w:val="52"/>
          <w:szCs w:val="52"/>
        </w:rPr>
        <w:t>年度部门决算情况说明</w:t>
      </w:r>
    </w:p>
    <w:p>
      <w:pPr>
        <w:widowControl/>
        <w:autoSpaceDN w:val="0"/>
        <w:spacing w:line="560" w:lineRule="exact"/>
        <w:ind w:firstLineChars="200" w:firstLine="640"/>
        <w:jc w:val="left"/>
        <w:rPr>
          <w:rFonts w:eastAsia="方正黑体_GBK" w:cs="方正黑体_GBK" w:hint="eastAsia"/>
          <w:sz w:val="32"/>
          <w:szCs w:val="32"/>
        </w:rPr>
      </w:pPr>
    </w:p>
    <w:p>
      <w:pPr>
        <w:autoSpaceDN w:val="0"/>
        <w:spacing w:line="560" w:lineRule="exact"/>
        <w:ind w:firstLineChars="200" w:firstLine="640"/>
        <w:jc w:val="left"/>
        <w:rPr>
          <w:rFonts w:eastAsia="方正仿宋_GBK" w:cs="方正仿宋_GBK" w:hint="eastAsia"/>
          <w:sz w:val="32"/>
          <w:szCs w:val="32"/>
          <w:lang w:val="en-US" w:eastAsia="zh-CN"/>
        </w:rPr>
      </w:pPr>
    </w:p>
    <w:p>
      <w:pPr>
        <w:autoSpaceDN w:val="0"/>
        <w:spacing w:line="560" w:lineRule="exact"/>
        <w:ind w:firstLineChars="200" w:firstLine="640"/>
        <w:jc w:val="left"/>
        <w:rPr>
          <w:rFonts w:eastAsia="方正仿宋_GBK" w:cs="方正仿宋_GBK" w:hint="eastAsia"/>
          <w:sz w:val="32"/>
          <w:szCs w:val="32"/>
          <w:lang w:val="en-US" w:eastAsia="zh-CN"/>
        </w:rPr>
      </w:pPr>
    </w:p>
    <w:p>
      <w:pPr>
        <w:autoSpaceDN w:val="0"/>
        <w:spacing w:line="560" w:lineRule="exact"/>
        <w:ind w:firstLineChars="200" w:firstLine="640"/>
        <w:jc w:val="left"/>
        <w:rPr>
          <w:rFonts w:eastAsia="方正仿宋_GBK" w:cs="方正仿宋_GBK" w:hint="eastAsia"/>
          <w:sz w:val="32"/>
          <w:szCs w:val="32"/>
          <w:lang w:val="en-US" w:eastAsia="zh-CN"/>
        </w:rPr>
      </w:pPr>
    </w:p>
    <w:p>
      <w:pPr>
        <w:autoSpaceDN w:val="0"/>
        <w:spacing w:line="560" w:lineRule="exact"/>
        <w:ind w:firstLineChars="200" w:firstLine="640"/>
        <w:jc w:val="left"/>
        <w:rPr>
          <w:rFonts w:eastAsia="方正仿宋_GBK" w:cs="方正仿宋_GBK" w:hint="eastAsia"/>
          <w:sz w:val="32"/>
          <w:szCs w:val="32"/>
          <w:lang w:val="en-US" w:eastAsia="zh-CN"/>
        </w:rPr>
      </w:pPr>
    </w:p>
    <w:p>
      <w:pPr>
        <w:autoSpaceDN w:val="0"/>
        <w:spacing w:line="560" w:lineRule="exact"/>
        <w:ind w:firstLineChars="200" w:firstLine="640"/>
        <w:jc w:val="left"/>
        <w:rPr>
          <w:rFonts w:eastAsia="方正仿宋_GBK" w:cs="方正仿宋_GBK" w:hint="eastAsia"/>
          <w:sz w:val="32"/>
          <w:szCs w:val="32"/>
          <w:lang w:val="en-US" w:eastAsia="zh-CN"/>
        </w:rPr>
      </w:pPr>
    </w:p>
    <w:p>
      <w:pPr>
        <w:autoSpaceDN w:val="0"/>
        <w:spacing w:line="560" w:lineRule="exact"/>
        <w:ind w:firstLineChars="200" w:firstLine="640"/>
        <w:jc w:val="left"/>
        <w:rPr>
          <w:rFonts w:eastAsia="方正仿宋_GBK" w:cs="方正仿宋_GBK" w:hint="eastAsia"/>
          <w:sz w:val="32"/>
          <w:szCs w:val="32"/>
          <w:lang w:val="en-US" w:eastAsia="zh-CN"/>
        </w:rPr>
      </w:pPr>
    </w:p>
    <w:p>
      <w:pPr>
        <w:autoSpaceDN w:val="0"/>
        <w:spacing w:line="560" w:lineRule="exact"/>
        <w:ind w:firstLineChars="200" w:firstLine="640"/>
        <w:jc w:val="left"/>
        <w:rPr>
          <w:rFonts w:eastAsia="方正仿宋_GBK" w:cs="方正仿宋_GBK" w:hint="eastAsia"/>
          <w:sz w:val="32"/>
          <w:szCs w:val="32"/>
          <w:lang w:val="en-US" w:eastAsia="zh-CN"/>
        </w:rPr>
      </w:pPr>
    </w:p>
    <w:p>
      <w:pPr>
        <w:autoSpaceDN w:val="0"/>
        <w:spacing w:line="560" w:lineRule="exact"/>
        <w:ind w:firstLineChars="200" w:firstLine="640"/>
        <w:jc w:val="left"/>
        <w:rPr>
          <w:rFonts w:eastAsia="方正仿宋_GBK" w:cs="方正仿宋_GBK" w:hint="eastAsia"/>
          <w:sz w:val="32"/>
          <w:szCs w:val="32"/>
          <w:lang w:val="en-US" w:eastAsia="zh-CN"/>
        </w:rPr>
      </w:pPr>
    </w:p>
    <w:p>
      <w:pPr>
        <w:autoSpaceDN w:val="0"/>
        <w:spacing w:line="560" w:lineRule="exact"/>
        <w:ind w:firstLineChars="200" w:firstLine="640"/>
        <w:jc w:val="left"/>
        <w:rPr>
          <w:rFonts w:eastAsia="方正仿宋_GBK" w:cs="方正仿宋_GBK" w:hint="eastAsia"/>
          <w:sz w:val="32"/>
          <w:szCs w:val="32"/>
          <w:lang w:val="en-US" w:eastAsia="zh-CN"/>
        </w:rPr>
      </w:pPr>
    </w:p>
    <w:p>
      <w:pPr>
        <w:autoSpaceDN w:val="0"/>
        <w:spacing w:line="560" w:lineRule="exact"/>
        <w:ind w:firstLineChars="200" w:firstLine="640"/>
        <w:jc w:val="left"/>
        <w:rPr>
          <w:rFonts w:eastAsia="方正仿宋_GBK" w:cs="方正仿宋_GBK" w:hint="eastAsia"/>
          <w:sz w:val="32"/>
          <w:szCs w:val="32"/>
          <w:lang w:val="en-US" w:eastAsia="zh-CN"/>
        </w:rPr>
      </w:pPr>
    </w:p>
    <w:p>
      <w:pPr>
        <w:autoSpaceDN w:val="0"/>
        <w:spacing w:line="560" w:lineRule="exact"/>
        <w:ind w:firstLineChars="200" w:firstLine="640"/>
        <w:jc w:val="left"/>
        <w:rPr>
          <w:rFonts w:eastAsia="方正仿宋_GBK" w:cs="方正仿宋_GBK" w:hint="eastAsia"/>
          <w:sz w:val="32"/>
          <w:szCs w:val="32"/>
          <w:lang w:val="en-US" w:eastAsia="zh-CN"/>
        </w:rPr>
      </w:pPr>
    </w:p>
    <w:p>
      <w:pPr>
        <w:numPr>
          <w:ilvl w:val="0"/>
          <w:numId w:val="1"/>
        </w:numPr>
        <w:autoSpaceDN w:val="0"/>
        <w:spacing w:line="560" w:lineRule="exact"/>
        <w:ind w:left="0" w:firstLineChars="200" w:firstLine="640"/>
        <w:jc w:val="left"/>
        <w:rPr>
          <w:rFonts w:eastAsia="方正楷体_GBK" w:cs="方正楷体_GBK" w:hint="eastAsia"/>
          <w:b/>
          <w:bCs/>
          <w:sz w:val="32"/>
          <w:szCs w:val="32"/>
        </w:rPr>
      </w:pPr>
      <w:r>
        <w:rPr>
          <w:rFonts w:eastAsia="方正楷体_GBK" w:cs="方正楷体_GBK" w:hint="eastAsia"/>
          <w:b/>
          <w:bCs/>
          <w:sz w:val="32"/>
          <w:szCs w:val="32"/>
        </w:rPr>
        <w:t>收入支出总体情况说明</w:t>
      </w:r>
    </w:p>
    <w:p>
      <w:pPr>
        <w:autoSpaceDN w:val="0"/>
        <w:spacing w:line="560" w:lineRule="exact"/>
        <w:ind w:left="0" w:firstLineChars="200" w:firstLine="640"/>
        <w:jc w:val="left"/>
        <w:rPr>
          <w:rFonts w:eastAsia="方正仿宋_GBK" w:cs="方正仿宋_GBK" w:hint="eastAsia"/>
          <w:sz w:val="32"/>
          <w:szCs w:val="32"/>
          <w:highlight w:val="green"/>
        </w:rPr>
      </w:pPr>
      <w:r>
        <w:rPr>
          <w:rFonts w:eastAsia="方正仿宋_GBK" w:cs="方正仿宋_GBK" w:hint="eastAsia"/>
          <w:sz w:val="32"/>
          <w:szCs w:val="32"/>
          <w:lang w:val="en-US" w:eastAsia="zh-CN"/>
        </w:rPr>
        <w:t>按照党中央、国务院关于党政机关习惯过紧日子的有关要求，厉行节约办一切事业，严控一般性支出。同时坚持有保有压，优化支出结构，提高资金使用效率，合理保障海关法检业务工作、智慧海关建设及运维、艰苦边远地区以及打击走私等重点支出，体现在有关支出科目中。按照支出功能分类</w:t>
      </w:r>
      <w:r>
        <w:rPr>
          <w:rFonts w:eastAsia="方正仿宋_GBK" w:cs="方正仿宋_GBK" w:hint="eastAsia"/>
          <w:sz w:val="32"/>
          <w:szCs w:val="32"/>
          <w:lang w:val="en-US" w:eastAsia="zh-CN"/>
          <w:highlight w:val="auto"/>
        </w:rPr>
        <w:t>，项级科目</w:t>
      </w:r>
      <w:r>
        <w:rPr>
          <w:rFonts w:eastAsia="方正仿宋_GBK" w:cs="方正仿宋_GBK"/>
          <w:sz w:val="32"/>
          <w:szCs w:val="32"/>
          <w:lang w:val="en-US" w:eastAsia="zh-CN"/>
          <w:highlight w:val="auto"/>
        </w:rPr>
        <w:t xml:space="preserve">2010909 </w:t>
      </w:r>
      <w:r>
        <w:rPr>
          <w:rFonts w:eastAsia="方正仿宋_GBK" w:cs="方正仿宋_GBK" w:hint="eastAsia"/>
          <w:sz w:val="32"/>
          <w:szCs w:val="32"/>
          <w:lang w:val="en-US" w:eastAsia="zh-CN"/>
          <w:highlight w:val="auto"/>
        </w:rPr>
        <w:t>海关关务方面的支出占财政拨款支出总额的比重较高，</w:t>
      </w:r>
      <w:r>
        <w:rPr>
          <w:rFonts w:eastAsia="方正仿宋_GBK" w:cs="方正仿宋_GBK"/>
          <w:sz w:val="32"/>
          <w:szCs w:val="32"/>
          <w:lang w:val="en-US" w:eastAsia="zh-CN"/>
          <w:highlight w:val="auto"/>
        </w:rPr>
        <w:t>2025</w:t>
      </w:r>
      <w:r>
        <w:rPr>
          <w:rFonts w:eastAsia="方正仿宋_GBK" w:cs="方正仿宋_GBK" w:hint="eastAsia"/>
          <w:sz w:val="32"/>
          <w:szCs w:val="32"/>
          <w:lang w:val="en-US" w:eastAsia="zh-CN"/>
          <w:highlight w:val="auto"/>
        </w:rPr>
        <w:t>年度决算数为85.08万元，占财政拨款支出总额的10.01</w:t>
      </w:r>
      <w:r>
        <w:rPr>
          <w:rFonts w:eastAsia="方正仿宋_GBK" w:cs="方正仿宋_GBK"/>
          <w:sz w:val="32"/>
          <w:szCs w:val="32"/>
          <w:lang w:val="en-US" w:eastAsia="zh-CN"/>
          <w:highlight w:val="auto"/>
        </w:rPr>
        <w:t>%</w:t>
      </w:r>
      <w:r>
        <w:rPr>
          <w:rFonts w:eastAsia="方正仿宋_GBK" w:cs="方正仿宋_GBK" w:hint="eastAsia"/>
          <w:sz w:val="32"/>
          <w:szCs w:val="32"/>
          <w:lang w:val="en-US" w:eastAsia="zh-CN"/>
          <w:highlight w:val="auto"/>
        </w:rPr>
        <w:t>，主要用于艰苦边远地区综合保障、海关资产运维、设备校准等方面。</w:t>
      </w:r>
    </w:p>
    <w:p>
      <w:pPr>
        <w:autoSpaceDN w:val="0"/>
        <w:spacing w:line="560" w:lineRule="exact"/>
        <w:ind w:firstLineChars="200" w:firstLine="640"/>
        <w:rPr>
          <w:rFonts w:eastAsia="方正仿宋_GBK" w:hint="eastAsia"/>
          <w:color w:val="000000"/>
          <w:sz w:val="32"/>
          <w:szCs w:val="32"/>
          <w:lang w:val="en-US" w:eastAsia="zh-CN"/>
          <w:highlight w:val="yellow"/>
        </w:rPr>
      </w:pPr>
      <w:r>
        <w:rPr>
          <w:rFonts w:eastAsia="方正仿宋_GBK"/>
          <w:sz w:val="32"/>
          <w:szCs w:val="32"/>
        </w:rPr>
        <w:t>202</w:t>
      </w:r>
      <w:r>
        <w:rPr>
          <w:rFonts w:eastAsia="方正仿宋_GBK" w:hint="eastAsia"/>
          <w:sz w:val="32"/>
          <w:szCs w:val="32"/>
          <w:lang w:val="en-US" w:eastAsia="zh-CN"/>
        </w:rPr>
        <w:t>5</w:t>
      </w:r>
      <w:r>
        <w:rPr>
          <w:rFonts w:eastAsia="方正仿宋_GBK" w:cs="方正仿宋_GBK" w:hint="eastAsia"/>
          <w:sz w:val="32"/>
          <w:szCs w:val="32"/>
        </w:rPr>
        <w:t>年度收、支总计</w:t>
      </w:r>
      <w:r>
        <w:rPr>
          <w:rFonts w:eastAsia="方正仿宋_GBK" w:hint="eastAsia"/>
          <w:sz w:val="32"/>
          <w:szCs w:val="32"/>
          <w:lang w:val="en-US" w:eastAsia="zh-CN"/>
        </w:rPr>
        <w:t>849.78</w:t>
      </w:r>
      <w:r>
        <w:rPr>
          <w:rFonts w:eastAsia="方正仿宋_GBK" w:cs="方正仿宋_GBK" w:hint="eastAsia"/>
          <w:sz w:val="32"/>
          <w:szCs w:val="32"/>
        </w:rPr>
        <w:t>万元。与</w:t>
      </w:r>
      <w:r>
        <w:rPr>
          <w:rFonts w:eastAsia="方正仿宋_GBK"/>
          <w:sz w:val="32"/>
          <w:szCs w:val="32"/>
        </w:rPr>
        <w:t>202</w:t>
      </w:r>
      <w:r>
        <w:rPr>
          <w:rFonts w:eastAsia="方正仿宋_GBK" w:hint="eastAsia"/>
          <w:sz w:val="32"/>
          <w:szCs w:val="32"/>
          <w:lang w:val="en-US" w:eastAsia="zh-CN"/>
        </w:rPr>
        <w:t>4</w:t>
      </w:r>
      <w:r>
        <w:rPr>
          <w:rFonts w:eastAsia="方正仿宋_GBK" w:cs="方正仿宋_GBK" w:hint="eastAsia"/>
          <w:sz w:val="32"/>
          <w:szCs w:val="32"/>
        </w:rPr>
        <w:t>年度相比，收、支总计各增加</w:t>
      </w:r>
      <w:r>
        <w:rPr>
          <w:rFonts w:eastAsia="方正仿宋_GBK" w:hint="eastAsia"/>
          <w:sz w:val="32"/>
          <w:szCs w:val="32"/>
          <w:lang w:val="en-US" w:eastAsia="zh-CN"/>
        </w:rPr>
        <w:t>849.78</w:t>
      </w:r>
      <w:r>
        <w:rPr>
          <w:rFonts w:eastAsia="方正仿宋_GBK" w:cs="方正仿宋_GBK" w:hint="eastAsia"/>
          <w:sz w:val="32"/>
          <w:szCs w:val="32"/>
        </w:rPr>
        <w:t>万元，增加</w:t>
      </w:r>
      <w:r>
        <w:rPr>
          <w:rFonts w:eastAsia="方正仿宋_GBK" w:hint="eastAsia"/>
          <w:sz w:val="32"/>
          <w:szCs w:val="32"/>
          <w:lang w:val="en-US" w:eastAsia="zh-CN"/>
        </w:rPr>
        <w:t>100</w:t>
      </w:r>
      <w:r>
        <w:rPr>
          <w:rFonts w:eastAsia="方正仿宋_GBK"/>
          <w:sz w:val="32"/>
          <w:szCs w:val="32"/>
        </w:rPr>
        <w:t>%</w:t>
      </w:r>
      <w:r>
        <w:rPr>
          <w:rFonts w:eastAsia="方正仿宋_GBK" w:hint="eastAsia"/>
          <w:sz w:val="32"/>
          <w:szCs w:val="32"/>
          <w:lang w:eastAsia="zh-CN"/>
        </w:rPr>
        <w:t>，原因为</w:t>
      </w:r>
      <w:r>
        <w:rPr>
          <w:rFonts w:eastAsia="方正仿宋_GBK"/>
          <w:sz w:val="32"/>
          <w:szCs w:val="32"/>
          <w:lang w:eastAsia="zh-CN"/>
        </w:rPr>
        <w:t>额布都格海关是</w:t>
      </w:r>
      <w:r>
        <w:rPr>
          <w:rFonts w:eastAsia="方正仿宋_GBK" w:hint="eastAsia"/>
          <w:sz w:val="32"/>
          <w:szCs w:val="32"/>
          <w:lang w:val="en-US" w:eastAsia="zh-CN"/>
        </w:rPr>
        <w:t>2025年新成立财务独立核算单位</w:t>
      </w:r>
      <w:r>
        <w:rPr>
          <w:rFonts w:eastAsia="方正仿宋_GBK" w:hint="eastAsia"/>
          <w:sz w:val="32"/>
          <w:szCs w:val="32"/>
          <w:lang w:eastAsia="zh-CN"/>
        </w:rPr>
        <w:t>。</w:t>
      </w:r>
    </w:p>
    <w:p>
      <w:pPr>
        <w:autoSpaceDN w:val="0"/>
        <w:spacing w:line="560" w:lineRule="exact"/>
        <w:ind w:firstLineChars="600" w:firstLine="1920"/>
        <w:jc w:val="both"/>
        <w:rPr>
          <w:rFonts w:eastAsia="方正楷体_GBK"/>
          <w:b/>
          <w:bCs/>
          <w:sz w:val="32"/>
          <w:szCs w:val="32"/>
        </w:rPr>
      </w:pPr>
      <w:r>
        <w:rPr>
          <w:rFonts w:eastAsia="方正楷体_GBK" w:cs="方正楷体_GBK" w:hint="eastAsia"/>
          <w:b/>
          <w:bCs/>
          <w:sz w:val="32"/>
          <w:szCs w:val="32"/>
        </w:rPr>
        <w:t>图</w:t>
      </w:r>
      <w:r>
        <w:rPr>
          <w:rFonts w:eastAsia="方正楷体_GBK"/>
          <w:b/>
          <w:bCs/>
          <w:sz w:val="32"/>
          <w:szCs w:val="32"/>
        </w:rPr>
        <w:t>1</w:t>
      </w:r>
      <w:r>
        <w:rPr>
          <w:rFonts w:eastAsia="方正楷体_GBK" w:cs="方正楷体_GBK" w:hint="eastAsia"/>
          <w:b/>
          <w:bCs/>
          <w:sz w:val="32"/>
          <w:szCs w:val="32"/>
        </w:rPr>
        <w:t>：收、支决算总计变动情况</w:t>
      </w:r>
    </w:p>
    <w:p>
      <w:pPr>
        <w:autoSpaceDN w:val="0"/>
        <w:spacing w:line="560" w:lineRule="exact"/>
        <w:jc w:val="center"/>
        <w:rPr>
          <w:rFonts w:eastAsia="方正楷体_GBK" w:cs="方正楷体_GBK"/>
          <w:b/>
          <w:bCs/>
          <w:sz w:val="32"/>
          <w:szCs w:val="32"/>
        </w:rPr>
      </w:pPr>
    </w:p>
    <w:p>
      <w:pPr>
        <w:pStyle w:val="15"/>
        <w:rPr>
          <w:rFonts w:eastAsia="方正楷体_GBK" w:cs="方正楷体_GBK"/>
          <w:b/>
          <w:bCs/>
          <w:sz w:val="32"/>
          <w:szCs w:val="32"/>
        </w:rPr>
      </w:pPr>
      <w: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t" style="width:431.1pt;height:218.95pt;" o:ole="">
            <v:stroke color="#000000"/>
            <v:imagedata r:id="rId2" o:title="7552762991786505411220"/>
            <o:lock aspectratio="t"/>
          </v:shape>
          <o:OLEObject Type="Embed" ProgID="Package" ShapeID="_x0000_i1" DrawAspect="Icon" ObjectID="_1393063351" r:id="rId3"/>
        </w:object>
      </w:r>
    </w:p>
    <w:p>
      <w:pPr>
        <w:autoSpaceDN w:val="0"/>
        <w:spacing w:line="560" w:lineRule="exact"/>
        <w:ind w:firstLineChars="900" w:firstLine="2880"/>
        <w:jc w:val="both"/>
        <w:rPr>
          <w:rFonts w:eastAsia="方正楷体_GBK"/>
          <w:b/>
          <w:bCs/>
          <w:sz w:val="32"/>
          <w:szCs w:val="32"/>
        </w:rPr>
      </w:pPr>
      <w:r>
        <w:rPr>
          <w:rFonts w:eastAsia="方正楷体_GBK" w:cs="方正楷体_GBK" w:hint="eastAsia"/>
          <w:b/>
          <w:bCs/>
          <w:sz w:val="32"/>
          <w:szCs w:val="32"/>
        </w:rPr>
        <w:t>（单位：万元）</w:t>
      </w:r>
    </w:p>
    <w:p>
      <w:pPr>
        <w:autoSpaceDN w:val="0"/>
        <w:spacing w:line="560" w:lineRule="exact"/>
        <w:ind w:firstLineChars="200" w:firstLine="640"/>
        <w:rPr>
          <w:rFonts w:eastAsia="方正楷体_GBK" w:cs="方正楷体_GBK" w:hint="eastAsia"/>
          <w:b/>
          <w:bCs/>
          <w:sz w:val="32"/>
          <w:szCs w:val="32"/>
        </w:rPr>
      </w:pPr>
    </w:p>
    <w:p>
      <w:pPr>
        <w:autoSpaceDN w:val="0"/>
        <w:spacing w:line="560" w:lineRule="exact"/>
        <w:ind w:firstLineChars="200" w:firstLine="640"/>
        <w:rPr>
          <w:rFonts w:eastAsia="方正楷体_GBK"/>
          <w:b/>
          <w:bCs/>
          <w:sz w:val="32"/>
          <w:szCs w:val="32"/>
        </w:rPr>
      </w:pPr>
      <w:r>
        <w:rPr>
          <w:rFonts w:eastAsia="方正楷体_GBK" w:cs="方正楷体_GBK" w:hint="eastAsia"/>
          <w:b/>
          <w:bCs/>
          <w:sz w:val="32"/>
          <w:szCs w:val="32"/>
          <w:lang w:eastAsia="zh-CN"/>
        </w:rPr>
        <w:t>二、</w:t>
      </w:r>
      <w:r>
        <w:rPr>
          <w:rFonts w:eastAsia="方正楷体_GBK" w:cs="方正楷体_GBK" w:hint="eastAsia"/>
          <w:b/>
          <w:bCs/>
          <w:sz w:val="32"/>
          <w:szCs w:val="32"/>
        </w:rPr>
        <w:t>收入决算情况说明</w:t>
      </w:r>
    </w:p>
    <w:p>
      <w:pPr>
        <w:autoSpaceDN w:val="0"/>
        <w:spacing w:line="560" w:lineRule="exact"/>
        <w:ind w:firstLineChars="200" w:firstLine="640"/>
        <w:rPr>
          <w:rFonts w:eastAsia="方正仿宋_GBK" w:cs="方正仿宋_GBK" w:hint="eastAsia"/>
          <w:kern w:val="0"/>
          <w:sz w:val="32"/>
          <w:szCs w:val="32"/>
        </w:rPr>
      </w:pPr>
      <w:r>
        <w:rPr>
          <w:rFonts w:eastAsia="方正仿宋_GBK"/>
          <w:sz w:val="32"/>
          <w:szCs w:val="32"/>
        </w:rPr>
        <w:t>202</w:t>
      </w:r>
      <w:r>
        <w:rPr>
          <w:rFonts w:eastAsia="方正仿宋_GBK" w:hint="eastAsia"/>
          <w:sz w:val="32"/>
          <w:szCs w:val="32"/>
          <w:lang w:val="en-US" w:eastAsia="zh-CN"/>
        </w:rPr>
        <w:t>5</w:t>
      </w:r>
      <w:r>
        <w:rPr>
          <w:rFonts w:eastAsia="方正仿宋_GBK" w:cs="方正仿宋_GBK" w:hint="eastAsia"/>
          <w:sz w:val="32"/>
          <w:szCs w:val="32"/>
        </w:rPr>
        <w:t>年度收入合计</w:t>
      </w:r>
      <w:r>
        <w:rPr>
          <w:rFonts w:eastAsia="方正仿宋_GBK" w:hint="eastAsia"/>
          <w:sz w:val="32"/>
          <w:szCs w:val="32"/>
          <w:lang w:val="en-US" w:eastAsia="zh-CN"/>
        </w:rPr>
        <w:t>849.78</w:t>
      </w:r>
      <w:r>
        <w:rPr>
          <w:rFonts w:eastAsia="方正仿宋_GBK" w:cs="方正仿宋_GBK" w:hint="eastAsia"/>
          <w:sz w:val="32"/>
          <w:szCs w:val="32"/>
        </w:rPr>
        <w:t>万元。其中</w:t>
      </w:r>
      <w:r>
        <w:rPr>
          <w:rFonts w:eastAsia="方正仿宋_GBK" w:cs="方正仿宋_GBK" w:hint="eastAsia"/>
          <w:b/>
          <w:bCs/>
          <w:sz w:val="32"/>
          <w:szCs w:val="32"/>
        </w:rPr>
        <w:t>：</w:t>
      </w:r>
      <w:r>
        <w:rPr>
          <w:rFonts w:eastAsia="方正仿宋_GBK" w:cs="方正仿宋_GBK" w:hint="eastAsia"/>
          <w:sz w:val="32"/>
          <w:szCs w:val="32"/>
        </w:rPr>
        <w:t>财政拨款收入</w:t>
      </w:r>
      <w:r>
        <w:rPr>
          <w:rFonts w:eastAsia="方正仿宋_GBK" w:hint="eastAsia"/>
          <w:sz w:val="32"/>
          <w:szCs w:val="32"/>
          <w:lang w:val="en-US" w:eastAsia="zh-CN"/>
        </w:rPr>
        <w:t>849.78</w:t>
      </w:r>
      <w:r>
        <w:rPr>
          <w:rFonts w:eastAsia="方正仿宋_GBK" w:cs="方正仿宋_GBK" w:hint="eastAsia"/>
          <w:sz w:val="32"/>
          <w:szCs w:val="32"/>
        </w:rPr>
        <w:t>万元，占</w:t>
      </w:r>
      <w:r>
        <w:rPr>
          <w:rFonts w:eastAsia="方正仿宋_GBK" w:hint="eastAsia"/>
          <w:sz w:val="32"/>
          <w:szCs w:val="32"/>
          <w:lang w:val="en-US" w:eastAsia="zh-CN"/>
        </w:rPr>
        <w:t>100</w:t>
      </w:r>
      <w:r>
        <w:rPr>
          <w:rFonts w:eastAsia="方正仿宋_GBK"/>
          <w:sz w:val="32"/>
          <w:szCs w:val="32"/>
        </w:rPr>
        <w:t>%</w:t>
      </w:r>
      <w:r>
        <w:rPr>
          <w:rFonts w:eastAsia="方正仿宋_GBK" w:cs="方正仿宋_GBK" w:hint="eastAsia"/>
          <w:sz w:val="32"/>
          <w:szCs w:val="32"/>
          <w:lang w:val="en-US" w:eastAsia="zh-CN"/>
        </w:rPr>
        <w:t>.</w:t>
      </w:r>
      <w:r>
        <w:rPr>
          <w:rFonts w:eastAsia="方正仿宋_GBK" w:cs="方正仿宋_GBK" w:hint="eastAsia"/>
          <w:kern w:val="0"/>
          <w:sz w:val="32"/>
          <w:szCs w:val="32"/>
        </w:rPr>
        <w:t>。</w:t>
      </w:r>
    </w:p>
    <w:p>
      <w:pPr>
        <w:autoSpaceDN w:val="0"/>
        <w:spacing w:line="560" w:lineRule="exact"/>
        <w:ind w:firstLineChars="1100" w:firstLine="3520"/>
      </w:pPr>
      <w:r>
        <w:rPr>
          <w:rFonts w:eastAsia="方正楷体_GBK" w:cs="方正楷体_GBK" w:hint="eastAsia"/>
          <w:b/>
          <w:bCs/>
          <w:sz w:val="32"/>
          <w:szCs w:val="32"/>
        </w:rPr>
        <w:t>图</w:t>
      </w:r>
      <w:r>
        <w:rPr>
          <w:rFonts w:eastAsia="方正楷体_GBK"/>
          <w:b/>
          <w:bCs/>
          <w:sz w:val="32"/>
          <w:szCs w:val="32"/>
        </w:rPr>
        <w:t>2</w:t>
      </w:r>
      <w:r>
        <w:rPr>
          <w:rFonts w:eastAsia="方正楷体_GBK" w:cs="方正楷体_GBK" w:hint="eastAsia"/>
          <w:b/>
          <w:bCs/>
          <w:sz w:val="32"/>
          <w:szCs w:val="32"/>
        </w:rPr>
        <w:t>：收入决算</w:t>
      </w:r>
    </w:p>
    <w:p>
      <w:pPr>
        <w:pStyle w:val="15"/>
      </w:pPr>
    </w:p>
    <w:p>
      <w:pPr>
        <w:pStyle w:val="15"/>
      </w:pPr>
      <w:r>
        <w:object>
          <v:shape id="_x0000_i2" type="#_x0000_t75" filled="f" stroked="t" style="width:442.45pt;height:203.05pt;" o:ole="">
            <v:stroke color="#000000"/>
            <v:imagedata r:id="rId4" o:title="1626139971786505411222"/>
            <o:lock aspectratio="t"/>
          </v:shape>
          <o:OLEObject Type="Embed" ProgID="Package" ShapeID="_x0000_i2" DrawAspect="Icon" ObjectID="_1393063352" r:id="rId5"/>
        </w:object>
      </w:r>
    </w:p>
    <w:p>
      <w:pPr>
        <w:autoSpaceDN w:val="0"/>
        <w:spacing w:line="560" w:lineRule="exact"/>
        <w:ind w:firstLineChars="200" w:firstLine="640"/>
        <w:rPr>
          <w:rFonts w:eastAsia="方正楷体_GBK"/>
          <w:b/>
          <w:bCs/>
          <w:sz w:val="32"/>
          <w:szCs w:val="32"/>
        </w:rPr>
      </w:pPr>
      <w:r>
        <w:rPr>
          <w:rFonts w:eastAsia="方正楷体_GBK" w:cs="方正楷体_GBK" w:hint="eastAsia"/>
          <w:b/>
          <w:bCs/>
          <w:sz w:val="32"/>
          <w:szCs w:val="32"/>
          <w:lang w:eastAsia="zh-CN"/>
        </w:rPr>
        <w:t>三、</w:t>
      </w:r>
      <w:r>
        <w:rPr>
          <w:rFonts w:eastAsia="方正楷体_GBK" w:cs="方正楷体_GBK" w:hint="eastAsia"/>
          <w:b/>
          <w:bCs/>
          <w:sz w:val="32"/>
          <w:szCs w:val="32"/>
        </w:rPr>
        <w:t>支出决算情况说明</w:t>
      </w:r>
    </w:p>
    <w:p>
      <w:pPr>
        <w:autoSpaceDN w:val="0"/>
        <w:spacing w:line="560" w:lineRule="exact"/>
        <w:ind w:firstLineChars="200" w:firstLine="640"/>
        <w:rPr>
          <w:rFonts w:eastAsia="方正仿宋_GBK" w:cs="方正仿宋_GBK" w:hint="eastAsia"/>
          <w:sz w:val="32"/>
          <w:szCs w:val="32"/>
        </w:rPr>
      </w:pPr>
      <w:r>
        <w:rPr>
          <w:rFonts w:eastAsia="方正仿宋_GBK"/>
          <w:sz w:val="32"/>
          <w:szCs w:val="32"/>
        </w:rPr>
        <w:t>202</w:t>
      </w:r>
      <w:r>
        <w:rPr>
          <w:rFonts w:eastAsia="方正仿宋_GBK" w:hint="eastAsia"/>
          <w:sz w:val="32"/>
          <w:szCs w:val="32"/>
          <w:lang w:val="en-US" w:eastAsia="zh-CN"/>
        </w:rPr>
        <w:t>5</w:t>
      </w:r>
      <w:r>
        <w:rPr>
          <w:rFonts w:eastAsia="方正仿宋_GBK" w:cs="方正仿宋_GBK" w:hint="eastAsia"/>
          <w:sz w:val="32"/>
          <w:szCs w:val="32"/>
        </w:rPr>
        <w:t>年度支出合计</w:t>
      </w:r>
      <w:r>
        <w:rPr>
          <w:rFonts w:eastAsia="方正仿宋_GBK" w:hint="eastAsia"/>
          <w:sz w:val="32"/>
          <w:szCs w:val="32"/>
          <w:lang w:val="en-US" w:eastAsia="zh-CN"/>
        </w:rPr>
        <w:t>833.15</w:t>
      </w:r>
      <w:r>
        <w:rPr>
          <w:rFonts w:eastAsia="方正仿宋_GBK" w:cs="方正仿宋_GBK" w:hint="eastAsia"/>
          <w:sz w:val="32"/>
          <w:szCs w:val="32"/>
        </w:rPr>
        <w:t>万元，其中：基本支出</w:t>
      </w:r>
      <w:r>
        <w:rPr>
          <w:rFonts w:eastAsia="方正仿宋_GBK" w:hint="eastAsia"/>
          <w:sz w:val="32"/>
          <w:szCs w:val="32"/>
          <w:lang w:val="en-US" w:eastAsia="zh-CN"/>
        </w:rPr>
        <w:t>690.39</w:t>
      </w:r>
      <w:r>
        <w:rPr>
          <w:rFonts w:eastAsia="方正仿宋_GBK" w:cs="方正仿宋_GBK" w:hint="eastAsia"/>
          <w:sz w:val="32"/>
          <w:szCs w:val="32"/>
        </w:rPr>
        <w:t>万元，占</w:t>
      </w:r>
      <w:r>
        <w:rPr>
          <w:rFonts w:eastAsia="方正仿宋_GBK" w:hint="eastAsia"/>
          <w:sz w:val="32"/>
          <w:szCs w:val="32"/>
          <w:lang w:val="en-US" w:eastAsia="zh-CN"/>
        </w:rPr>
        <w:t>82.87</w:t>
      </w:r>
      <w:r>
        <w:rPr>
          <w:rFonts w:eastAsia="方正仿宋_GBK"/>
          <w:sz w:val="32"/>
          <w:szCs w:val="32"/>
        </w:rPr>
        <w:t>%</w:t>
      </w:r>
      <w:r>
        <w:rPr>
          <w:rFonts w:eastAsia="方正仿宋_GBK" w:cs="方正仿宋_GBK" w:hint="eastAsia"/>
          <w:sz w:val="32"/>
          <w:szCs w:val="32"/>
        </w:rPr>
        <w:t>；项目支出</w:t>
      </w:r>
      <w:r>
        <w:rPr>
          <w:rFonts w:eastAsia="方正仿宋_GBK" w:hint="eastAsia"/>
          <w:sz w:val="32"/>
          <w:szCs w:val="32"/>
          <w:lang w:val="en-US" w:eastAsia="zh-CN"/>
        </w:rPr>
        <w:t>142.76</w:t>
      </w:r>
      <w:r>
        <w:rPr>
          <w:rFonts w:eastAsia="方正仿宋_GBK" w:cs="方正仿宋_GBK" w:hint="eastAsia"/>
          <w:sz w:val="32"/>
          <w:szCs w:val="32"/>
        </w:rPr>
        <w:t>万元，占</w:t>
      </w:r>
      <w:r>
        <w:rPr>
          <w:rFonts w:eastAsia="方正仿宋_GBK" w:hint="eastAsia"/>
          <w:sz w:val="32"/>
          <w:szCs w:val="32"/>
          <w:lang w:val="en-US" w:eastAsia="zh-CN"/>
        </w:rPr>
        <w:t>17.13</w:t>
      </w:r>
      <w:r>
        <w:rPr>
          <w:rFonts w:eastAsia="方正仿宋_GBK"/>
          <w:sz w:val="32"/>
          <w:szCs w:val="32"/>
        </w:rPr>
        <w:t>%</w:t>
      </w:r>
      <w:r>
        <w:rPr>
          <w:rFonts w:eastAsia="方正仿宋_GBK" w:cs="方正仿宋_GBK" w:hint="eastAsia"/>
          <w:sz w:val="32"/>
          <w:szCs w:val="32"/>
        </w:rPr>
        <w:t>。</w:t>
      </w:r>
    </w:p>
    <w:p>
      <w:pPr>
        <w:autoSpaceDN w:val="0"/>
        <w:spacing w:line="560" w:lineRule="exact"/>
        <w:ind w:firstLineChars="1000" w:firstLine="3200"/>
        <w:rPr>
          <w:rFonts w:eastAsia="方正楷体_GBK" w:cs="方正楷体_GBK" w:hint="eastAsia"/>
          <w:b/>
          <w:bCs/>
          <w:sz w:val="32"/>
          <w:szCs w:val="32"/>
        </w:rPr>
      </w:pPr>
      <w:r>
        <w:rPr>
          <w:rFonts w:eastAsia="方正楷体_GBK" w:cs="方正楷体_GBK" w:hint="eastAsia"/>
          <w:b/>
          <w:bCs/>
          <w:sz w:val="32"/>
          <w:szCs w:val="32"/>
        </w:rPr>
        <w:t>图</w:t>
      </w:r>
      <w:r>
        <w:rPr>
          <w:rFonts w:eastAsia="方正楷体_GBK"/>
          <w:b/>
          <w:bCs/>
          <w:sz w:val="32"/>
          <w:szCs w:val="32"/>
        </w:rPr>
        <w:t>3</w:t>
      </w:r>
      <w:r>
        <w:rPr>
          <w:rFonts w:eastAsia="方正楷体_GBK" w:cs="方正楷体_GBK" w:hint="eastAsia"/>
          <w:b/>
          <w:bCs/>
          <w:sz w:val="32"/>
          <w:szCs w:val="32"/>
        </w:rPr>
        <w:t>：支出决算</w:t>
      </w:r>
    </w:p>
    <w:p>
      <w:pPr>
        <w:pStyle w:val="15"/>
        <w:rPr>
          <w:rFonts w:eastAsia="方正楷体_GBK" w:cs="方正楷体_GBK" w:hint="eastAsia"/>
          <w:b/>
          <w:bCs/>
          <w:sz w:val="32"/>
          <w:szCs w:val="32"/>
        </w:rPr>
      </w:pPr>
    </w:p>
    <w:p>
      <w:pPr>
        <w:pStyle w:val="15"/>
        <w:rPr>
          <w:rFonts w:eastAsia="方正楷体_GBK" w:cs="方正楷体_GBK" w:hint="eastAsia"/>
          <w:b/>
          <w:bCs/>
          <w:sz w:val="32"/>
          <w:szCs w:val="32"/>
        </w:rPr>
      </w:pPr>
      <w:r>
        <w:object>
          <v:shape id="_x0000_i3" type="#_x0000_t75" filled="f" stroked="t" style="width:430.70004pt;height:204.25002pt;" o:ole="">
            <v:stroke color="#000000"/>
            <v:imagedata r:id="rId6" o:title="6216529571786505411223"/>
            <o:lock aspectratio="t"/>
          </v:shape>
          <o:OLEObject Type="Embed" ProgID="Package" ShapeID="_x0000_i3" DrawAspect="Icon" ObjectID="_1393063353" r:id="rId7"/>
        </w:object>
      </w:r>
    </w:p>
    <w:p>
      <w:pPr>
        <w:pStyle w:val="15"/>
        <w:rPr>
          <w:rFonts w:eastAsia="方正楷体_GBK" w:cs="方正楷体_GBK" w:hint="eastAsia"/>
          <w:b/>
          <w:bCs/>
          <w:sz w:val="32"/>
          <w:szCs w:val="32"/>
        </w:rPr>
      </w:pPr>
    </w:p>
    <w:p>
      <w:pPr>
        <w:autoSpaceDN w:val="0"/>
        <w:spacing w:line="560" w:lineRule="exact"/>
        <w:ind w:firstLineChars="200" w:firstLine="640"/>
        <w:rPr>
          <w:rFonts w:eastAsia="方正楷体_GBK"/>
          <w:b/>
          <w:bCs/>
          <w:sz w:val="32"/>
          <w:szCs w:val="32"/>
        </w:rPr>
      </w:pPr>
      <w:r>
        <w:rPr>
          <w:rFonts w:eastAsia="方正楷体_GBK" w:cs="方正楷体_GBK" w:hint="eastAsia"/>
          <w:b/>
          <w:bCs/>
          <w:sz w:val="32"/>
          <w:szCs w:val="32"/>
          <w:lang w:eastAsia="zh-CN"/>
        </w:rPr>
        <w:t>四、</w:t>
      </w:r>
      <w:r>
        <w:rPr>
          <w:rFonts w:eastAsia="方正楷体_GBK" w:cs="方正楷体_GBK" w:hint="eastAsia"/>
          <w:b/>
          <w:bCs/>
          <w:sz w:val="32"/>
          <w:szCs w:val="32"/>
        </w:rPr>
        <w:t>财政拨款收入支出决算总体情况说明</w:t>
      </w:r>
    </w:p>
    <w:p>
      <w:pPr>
        <w:autoSpaceDN w:val="0"/>
        <w:spacing w:line="560" w:lineRule="exact"/>
        <w:ind w:firstLineChars="200" w:firstLine="640"/>
        <w:rPr>
          <w:rFonts w:eastAsia="方正仿宋_GBK" w:hint="eastAsia"/>
          <w:color w:val="000000"/>
          <w:sz w:val="32"/>
          <w:szCs w:val="32"/>
          <w:lang w:val="en-US" w:eastAsia="zh-CN"/>
          <w:highlight w:val="yellow"/>
        </w:rPr>
      </w:pPr>
      <w:r>
        <w:rPr>
          <w:rFonts w:eastAsia="方正仿宋_GBK"/>
          <w:sz w:val="32"/>
          <w:szCs w:val="32"/>
        </w:rPr>
        <w:t>202</w:t>
      </w:r>
      <w:r>
        <w:rPr>
          <w:rFonts w:eastAsia="方正仿宋_GBK" w:hint="eastAsia"/>
          <w:sz w:val="32"/>
          <w:szCs w:val="32"/>
          <w:lang w:val="en-US" w:eastAsia="zh-CN"/>
        </w:rPr>
        <w:t>5</w:t>
      </w:r>
      <w:r>
        <w:rPr>
          <w:rFonts w:eastAsia="方正仿宋_GBK" w:cs="方正仿宋_GBK" w:hint="eastAsia"/>
          <w:sz w:val="32"/>
          <w:szCs w:val="32"/>
        </w:rPr>
        <w:t>年度财政拨款收、支总计</w:t>
      </w:r>
      <w:r>
        <w:rPr>
          <w:rFonts w:eastAsia="方正仿宋_GBK" w:hint="eastAsia"/>
          <w:sz w:val="32"/>
          <w:szCs w:val="32"/>
          <w:lang w:val="en-US" w:eastAsia="zh-CN"/>
        </w:rPr>
        <w:t>849.78</w:t>
      </w:r>
      <w:r>
        <w:rPr>
          <w:rFonts w:eastAsia="方正仿宋_GBK" w:cs="方正仿宋_GBK" w:hint="eastAsia"/>
          <w:sz w:val="32"/>
          <w:szCs w:val="32"/>
        </w:rPr>
        <w:t>万元。与</w:t>
      </w:r>
      <w:r>
        <w:rPr>
          <w:rFonts w:eastAsia="方正仿宋_GBK"/>
          <w:sz w:val="32"/>
          <w:szCs w:val="32"/>
        </w:rPr>
        <w:t>202</w:t>
      </w:r>
      <w:r>
        <w:rPr>
          <w:rFonts w:eastAsia="方正仿宋_GBK" w:hint="eastAsia"/>
          <w:sz w:val="32"/>
          <w:szCs w:val="32"/>
          <w:lang w:val="en-US" w:eastAsia="zh-CN"/>
        </w:rPr>
        <w:t>4</w:t>
      </w:r>
      <w:r>
        <w:rPr>
          <w:rFonts w:eastAsia="方正仿宋_GBK" w:cs="方正仿宋_GBK" w:hint="eastAsia"/>
          <w:sz w:val="32"/>
          <w:szCs w:val="32"/>
        </w:rPr>
        <w:t>年度相比，财政拨款收、支总计各</w:t>
      </w:r>
      <w:r>
        <w:rPr>
          <w:rFonts w:eastAsia="方正仿宋_GBK" w:cs="方正仿宋_GBK" w:hint="eastAsia"/>
          <w:sz w:val="32"/>
          <w:szCs w:val="32"/>
          <w:lang w:eastAsia="zh-CN"/>
        </w:rPr>
        <w:t>增加</w:t>
      </w:r>
      <w:r>
        <w:rPr>
          <w:rFonts w:eastAsia="方正仿宋_GBK" w:hint="eastAsia"/>
          <w:sz w:val="32"/>
          <w:szCs w:val="32"/>
          <w:lang w:val="en-US" w:eastAsia="zh-CN"/>
        </w:rPr>
        <w:t>849.78</w:t>
      </w:r>
      <w:r>
        <w:rPr>
          <w:rFonts w:eastAsia="方正仿宋_GBK" w:cs="方正仿宋_GBK" w:hint="eastAsia"/>
          <w:sz w:val="32"/>
          <w:szCs w:val="32"/>
        </w:rPr>
        <w:t>万元，</w:t>
      </w:r>
      <w:r>
        <w:rPr>
          <w:rFonts w:eastAsia="方正仿宋_GBK" w:cs="方正仿宋_GBK" w:hint="eastAsia"/>
          <w:sz w:val="32"/>
          <w:szCs w:val="32"/>
          <w:lang w:eastAsia="zh-CN"/>
        </w:rPr>
        <w:t>增加</w:t>
      </w:r>
      <w:r>
        <w:rPr>
          <w:rFonts w:eastAsia="方正仿宋_GBK" w:cs="方正仿宋_GBK" w:hint="eastAsia"/>
          <w:sz w:val="32"/>
          <w:szCs w:val="32"/>
          <w:lang w:val="en-US" w:eastAsia="zh-CN"/>
        </w:rPr>
        <w:t>100</w:t>
      </w:r>
      <w:r>
        <w:rPr>
          <w:rFonts w:eastAsia="方正仿宋_GBK"/>
          <w:sz w:val="32"/>
          <w:szCs w:val="32"/>
        </w:rPr>
        <w:t>%</w:t>
      </w:r>
      <w:r>
        <w:rPr>
          <w:rFonts w:eastAsia="方正仿宋_GBK" w:cs="方正仿宋_GBK" w:hint="eastAsia"/>
          <w:sz w:val="32"/>
          <w:szCs w:val="32"/>
        </w:rPr>
        <w:t>，</w:t>
      </w:r>
      <w:r>
        <w:rPr>
          <w:rFonts w:eastAsia="方正仿宋_GBK" w:hint="eastAsia"/>
          <w:sz w:val="32"/>
          <w:szCs w:val="32"/>
        </w:rPr>
        <w:t>主要原因</w:t>
      </w:r>
      <w:r>
        <w:rPr>
          <w:rFonts w:eastAsia="方正仿宋_GBK" w:hint="eastAsia"/>
          <w:sz w:val="32"/>
          <w:szCs w:val="32"/>
          <w:lang w:eastAsia="zh-CN"/>
        </w:rPr>
        <w:t>为</w:t>
      </w:r>
      <w:r>
        <w:rPr>
          <w:rFonts w:eastAsia="方正仿宋_GBK"/>
          <w:sz w:val="32"/>
          <w:szCs w:val="32"/>
          <w:lang w:eastAsia="zh-CN"/>
        </w:rPr>
        <w:t>额布都格海关是</w:t>
      </w:r>
      <w:r>
        <w:rPr>
          <w:rFonts w:eastAsia="方正仿宋_GBK" w:hint="eastAsia"/>
          <w:sz w:val="32"/>
          <w:szCs w:val="32"/>
          <w:lang w:val="en-US" w:eastAsia="zh-CN"/>
        </w:rPr>
        <w:t>2025年新成立财务独立核算单位</w:t>
      </w:r>
      <w:r>
        <w:rPr>
          <w:rFonts w:eastAsia="方正仿宋_GBK" w:hint="eastAsia"/>
          <w:sz w:val="32"/>
          <w:szCs w:val="32"/>
          <w:lang w:eastAsia="zh-CN"/>
        </w:rPr>
        <w:t>。</w:t>
      </w:r>
    </w:p>
    <w:p>
      <w:pPr>
        <w:autoSpaceDN w:val="0"/>
        <w:spacing w:line="560" w:lineRule="exact"/>
        <w:ind w:firstLineChars="200" w:firstLine="640"/>
        <w:rPr>
          <w:rFonts w:eastAsia="方正仿宋_GBK"/>
          <w:sz w:val="32"/>
          <w:szCs w:val="32"/>
        </w:rPr>
      </w:pPr>
    </w:p>
    <w:p>
      <w:pPr>
        <w:autoSpaceDN w:val="0"/>
        <w:spacing w:line="560" w:lineRule="exact"/>
        <w:jc w:val="center"/>
        <w:rPr>
          <w:rFonts w:eastAsia="方正楷体_GBK" w:cs="方正楷体_GBK"/>
          <w:b/>
          <w:bCs/>
          <w:sz w:val="32"/>
          <w:szCs w:val="32"/>
        </w:rPr>
      </w:pPr>
      <w:r>
        <w:rPr>
          <w:rFonts w:eastAsia="方正楷体_GBK" w:cs="方正楷体_GBK" w:hint="eastAsia"/>
          <w:b/>
          <w:bCs/>
          <w:sz w:val="32"/>
          <w:szCs w:val="32"/>
        </w:rPr>
        <w:t>图</w:t>
      </w:r>
      <w:r>
        <w:rPr>
          <w:rFonts w:eastAsia="方正楷体_GBK"/>
          <w:b/>
          <w:bCs/>
          <w:sz w:val="32"/>
          <w:szCs w:val="32"/>
        </w:rPr>
        <w:t>4</w:t>
      </w:r>
      <w:r>
        <w:rPr>
          <w:rFonts w:eastAsia="方正楷体_GBK" w:cs="方正楷体_GBK" w:hint="eastAsia"/>
          <w:b/>
          <w:bCs/>
          <w:sz w:val="32"/>
          <w:szCs w:val="32"/>
        </w:rPr>
        <w:t>：财政拨款收、支决算总计变动情况</w:t>
      </w:r>
    </w:p>
    <w:p>
      <w:pPr>
        <w:pStyle w:val="15"/>
      </w:pPr>
    </w:p>
    <w:p>
      <w:pPr>
        <w:pStyle w:val="15"/>
      </w:pPr>
    </w:p>
    <w:p>
      <w:pPr>
        <w:pStyle w:val="15"/>
      </w:pPr>
      <w:r>
        <w:object>
          <v:shape id="_x0000_i4" type="#_x0000_t75" filled="f" stroked="t" style="width:455.9pt;height:234.15pt;" o:ole="">
            <v:stroke color="#000000"/>
            <v:imagedata r:id="rId8" o:title="2739518001786505411225"/>
            <o:lock aspectratio="t"/>
          </v:shape>
          <o:OLEObject Type="Embed" ProgID="Package" ShapeID="_x0000_i4" DrawAspect="Icon" ObjectID="_1393063354" r:id="rId9"/>
        </w:object>
      </w:r>
    </w:p>
    <w:p>
      <w:pPr>
        <w:autoSpaceDN w:val="0"/>
        <w:spacing w:line="560" w:lineRule="exact"/>
        <w:ind w:firstLineChars="1000" w:firstLine="3200"/>
        <w:jc w:val="both"/>
        <w:rPr>
          <w:rFonts w:eastAsia="方正楷体_GBK"/>
          <w:b/>
          <w:bCs/>
          <w:sz w:val="32"/>
          <w:szCs w:val="32"/>
        </w:rPr>
      </w:pPr>
      <w:r>
        <w:rPr>
          <w:rFonts w:eastAsia="方正楷体_GBK" w:cs="方正楷体_GBK" w:hint="eastAsia"/>
          <w:b/>
          <w:bCs/>
          <w:sz w:val="32"/>
          <w:szCs w:val="32"/>
        </w:rPr>
        <w:t>（单位：万元）</w:t>
      </w:r>
    </w:p>
    <w:p>
      <w:pPr>
        <w:autoSpaceDN w:val="0"/>
        <w:spacing w:line="560" w:lineRule="exact"/>
        <w:jc w:val="center"/>
        <w:rPr>
          <w:rFonts w:eastAsia="方正楷体_GBK"/>
          <w:b/>
          <w:bCs/>
          <w:sz w:val="32"/>
          <w:szCs w:val="32"/>
        </w:rPr>
      </w:pPr>
    </w:p>
    <w:p>
      <w:pPr>
        <w:autoSpaceDN w:val="0"/>
        <w:spacing w:line="560" w:lineRule="exact"/>
        <w:ind w:firstLineChars="200" w:firstLine="640"/>
        <w:rPr>
          <w:rFonts w:eastAsia="方正楷体_GBK"/>
          <w:b/>
          <w:bCs/>
          <w:sz w:val="32"/>
          <w:szCs w:val="32"/>
        </w:rPr>
      </w:pPr>
      <w:r>
        <w:rPr>
          <w:rFonts w:eastAsia="方正楷体_GBK" w:cs="方正楷体_GBK" w:hint="eastAsia"/>
          <w:b/>
          <w:bCs/>
          <w:sz w:val="32"/>
          <w:szCs w:val="32"/>
          <w:lang w:eastAsia="zh-CN"/>
        </w:rPr>
        <w:t>五、</w:t>
      </w:r>
      <w:r>
        <w:rPr>
          <w:rFonts w:eastAsia="方正楷体_GBK" w:cs="方正楷体_GBK" w:hint="eastAsia"/>
          <w:b/>
          <w:bCs/>
          <w:sz w:val="32"/>
          <w:szCs w:val="32"/>
        </w:rPr>
        <w:t>一般公共预算财政拨款支出决算情况说明</w:t>
      </w:r>
    </w:p>
    <w:p>
      <w:pPr>
        <w:tabs>
          <w:tab w:val="left" w:pos="0"/>
        </w:tabs>
        <w:autoSpaceDN w:val="0"/>
        <w:spacing w:line="560" w:lineRule="exact"/>
        <w:ind w:left="640"/>
        <w:rPr>
          <w:rFonts w:eastAsia="方正仿宋_GBK"/>
          <w:b/>
          <w:bCs/>
          <w:kern w:val="0"/>
          <w:sz w:val="32"/>
          <w:szCs w:val="32"/>
        </w:rPr>
      </w:pPr>
      <w:r>
        <w:rPr>
          <w:rFonts w:eastAsia="方正仿宋_GBK" w:hint="eastAsia"/>
          <w:b/>
          <w:bCs/>
          <w:kern w:val="0"/>
          <w:sz w:val="32"/>
          <w:szCs w:val="32"/>
          <w:lang w:eastAsia="zh-CN"/>
        </w:rPr>
        <w:t>（一）</w:t>
      </w:r>
      <w:r>
        <w:rPr>
          <w:rFonts w:eastAsia="方正仿宋_GBK" w:cs="方正仿宋_GBK" w:hint="eastAsia"/>
          <w:b/>
          <w:bCs/>
          <w:kern w:val="0"/>
          <w:sz w:val="32"/>
          <w:szCs w:val="32"/>
        </w:rPr>
        <w:t>财政拨款支出决算总体情况。</w:t>
      </w:r>
    </w:p>
    <w:p>
      <w:pPr>
        <w:autoSpaceDN w:val="0"/>
        <w:spacing w:line="560" w:lineRule="exact"/>
        <w:ind w:firstLineChars="200" w:firstLine="640"/>
        <w:rPr>
          <w:rFonts w:eastAsia="方正仿宋_GBK" w:hint="eastAsia"/>
          <w:sz w:val="32"/>
          <w:szCs w:val="32"/>
          <w:lang w:eastAsia="zh-CN"/>
        </w:rPr>
      </w:pPr>
      <w:r>
        <w:rPr>
          <w:rFonts w:eastAsia="方正仿宋_GBK"/>
          <w:kern w:val="0"/>
          <w:sz w:val="32"/>
          <w:szCs w:val="32"/>
        </w:rPr>
        <w:t>202</w:t>
      </w:r>
      <w:r>
        <w:rPr>
          <w:rFonts w:eastAsia="方正仿宋_GBK" w:hint="eastAsia"/>
          <w:kern w:val="0"/>
          <w:sz w:val="32"/>
          <w:szCs w:val="32"/>
          <w:lang w:val="en-US" w:eastAsia="zh-CN"/>
        </w:rPr>
        <w:t>5</w:t>
      </w:r>
      <w:r>
        <w:rPr>
          <w:rFonts w:eastAsia="方正仿宋_GBK" w:cs="方正仿宋_GBK" w:hint="eastAsia"/>
          <w:kern w:val="0"/>
          <w:sz w:val="32"/>
          <w:szCs w:val="32"/>
        </w:rPr>
        <w:t>年度财政拨款支出</w:t>
      </w:r>
      <w:r>
        <w:rPr>
          <w:rFonts w:eastAsia="方正仿宋_GBK" w:hint="eastAsia"/>
          <w:kern w:val="0"/>
          <w:sz w:val="32"/>
          <w:szCs w:val="32"/>
          <w:lang w:val="en-US" w:eastAsia="zh-CN"/>
        </w:rPr>
        <w:t>833.15</w:t>
      </w:r>
      <w:r>
        <w:rPr>
          <w:rFonts w:eastAsia="方正仿宋_GBK" w:cs="方正仿宋_GBK" w:hint="eastAsia"/>
          <w:kern w:val="0"/>
          <w:sz w:val="32"/>
          <w:szCs w:val="32"/>
        </w:rPr>
        <w:t>万元，占本年支出合计的</w:t>
      </w:r>
      <w:r>
        <w:rPr>
          <w:rFonts w:eastAsia="方正仿宋_GBK" w:hint="eastAsia"/>
          <w:sz w:val="32"/>
          <w:szCs w:val="32"/>
          <w:lang w:val="en-US" w:eastAsia="zh-CN"/>
        </w:rPr>
        <w:t>100</w:t>
      </w:r>
      <w:r>
        <w:rPr>
          <w:rFonts w:eastAsia="方正仿宋_GBK"/>
          <w:kern w:val="0"/>
          <w:sz w:val="32"/>
          <w:szCs w:val="32"/>
        </w:rPr>
        <w:t>%</w:t>
      </w:r>
      <w:r>
        <w:rPr>
          <w:rFonts w:eastAsia="方正仿宋_GBK" w:cs="方正仿宋_GBK" w:hint="eastAsia"/>
          <w:kern w:val="0"/>
          <w:sz w:val="32"/>
          <w:szCs w:val="32"/>
        </w:rPr>
        <w:t>。与</w:t>
      </w:r>
      <w:r>
        <w:rPr>
          <w:rFonts w:eastAsia="方正仿宋_GBK"/>
          <w:kern w:val="0"/>
          <w:sz w:val="32"/>
          <w:szCs w:val="32"/>
        </w:rPr>
        <w:t>202</w:t>
      </w:r>
      <w:r>
        <w:rPr>
          <w:rFonts w:eastAsia="方正仿宋_GBK" w:hint="eastAsia"/>
          <w:kern w:val="0"/>
          <w:sz w:val="32"/>
          <w:szCs w:val="32"/>
          <w:lang w:val="en-US" w:eastAsia="zh-CN"/>
        </w:rPr>
        <w:t>4</w:t>
      </w:r>
      <w:r>
        <w:rPr>
          <w:rFonts w:eastAsia="方正仿宋_GBK" w:cs="方正仿宋_GBK" w:hint="eastAsia"/>
          <w:kern w:val="0"/>
          <w:sz w:val="32"/>
          <w:szCs w:val="32"/>
        </w:rPr>
        <w:t>年度相比，财政拨款支出</w:t>
      </w:r>
      <w:r>
        <w:rPr>
          <w:rFonts w:eastAsia="方正仿宋_GBK" w:cs="方正仿宋_GBK" w:hint="eastAsia"/>
          <w:kern w:val="0"/>
          <w:sz w:val="32"/>
          <w:szCs w:val="32"/>
          <w:lang w:eastAsia="zh-CN"/>
        </w:rPr>
        <w:t>增加</w:t>
      </w:r>
      <w:r>
        <w:rPr>
          <w:rFonts w:eastAsia="方正仿宋_GBK" w:hint="eastAsia"/>
          <w:kern w:val="0"/>
          <w:sz w:val="32"/>
          <w:szCs w:val="32"/>
          <w:lang w:val="en-US" w:eastAsia="zh-CN"/>
        </w:rPr>
        <w:t>833.15</w:t>
      </w:r>
      <w:r>
        <w:rPr>
          <w:rFonts w:eastAsia="方正仿宋_GBK" w:cs="方正仿宋_GBK" w:hint="eastAsia"/>
          <w:kern w:val="0"/>
          <w:sz w:val="32"/>
          <w:szCs w:val="32"/>
        </w:rPr>
        <w:t>万元，</w:t>
      </w:r>
      <w:r>
        <w:rPr>
          <w:rFonts w:eastAsia="方正仿宋_GBK" w:cs="方正仿宋_GBK" w:hint="eastAsia"/>
          <w:kern w:val="0"/>
          <w:sz w:val="32"/>
          <w:szCs w:val="32"/>
          <w:lang w:eastAsia="zh-CN"/>
        </w:rPr>
        <w:t>增加</w:t>
      </w:r>
      <w:r>
        <w:rPr>
          <w:rFonts w:eastAsia="方正仿宋_GBK" w:cs="方正仿宋_GBK" w:hint="eastAsia"/>
          <w:kern w:val="0"/>
          <w:sz w:val="32"/>
          <w:szCs w:val="32"/>
          <w:lang w:val="en-US" w:eastAsia="zh-CN"/>
        </w:rPr>
        <w:t>100</w:t>
      </w:r>
      <w:r>
        <w:rPr>
          <w:rFonts w:eastAsia="方正仿宋_GBK"/>
          <w:kern w:val="0"/>
          <w:sz w:val="32"/>
          <w:szCs w:val="32"/>
        </w:rPr>
        <w:t>%</w:t>
      </w:r>
      <w:r>
        <w:rPr>
          <w:rFonts w:eastAsia="方正仿宋_GBK" w:hint="eastAsia"/>
          <w:sz w:val="32"/>
          <w:szCs w:val="32"/>
        </w:rPr>
        <w:t>，主要</w:t>
      </w:r>
      <w:r>
        <w:rPr>
          <w:rFonts w:eastAsia="方正仿宋_GBK" w:hint="eastAsia"/>
          <w:sz w:val="32"/>
          <w:szCs w:val="32"/>
          <w:lang w:eastAsia="zh-CN"/>
        </w:rPr>
        <w:t>为</w:t>
      </w:r>
      <w:r>
        <w:rPr>
          <w:rFonts w:eastAsia="方正仿宋_GBK"/>
          <w:sz w:val="32"/>
          <w:szCs w:val="32"/>
          <w:lang w:eastAsia="zh-CN"/>
        </w:rPr>
        <w:t>额布都格海关是</w:t>
      </w:r>
      <w:r>
        <w:rPr>
          <w:rFonts w:eastAsia="方正仿宋_GBK" w:hint="eastAsia"/>
          <w:sz w:val="32"/>
          <w:szCs w:val="32"/>
          <w:lang w:val="en-US" w:eastAsia="zh-CN"/>
        </w:rPr>
        <w:t>2025年新成立财务独立核算单位</w:t>
      </w:r>
      <w:r>
        <w:rPr>
          <w:rFonts w:eastAsia="方正仿宋_GBK" w:hint="eastAsia"/>
          <w:sz w:val="32"/>
          <w:szCs w:val="32"/>
          <w:lang w:eastAsia="zh-CN"/>
        </w:rPr>
        <w:t>。</w:t>
      </w:r>
    </w:p>
    <w:p>
      <w:pPr>
        <w:autoSpaceDN w:val="0"/>
        <w:spacing w:line="560" w:lineRule="exact"/>
        <w:ind w:firstLineChars="500" w:firstLine="1600"/>
        <w:jc w:val="both"/>
        <w:rPr>
          <w:rFonts w:eastAsia="方正楷体_GBK" w:cs="方正楷体_GBK"/>
          <w:b/>
          <w:bCs/>
          <w:sz w:val="32"/>
          <w:szCs w:val="32"/>
        </w:rPr>
      </w:pPr>
      <w:r>
        <w:rPr>
          <w:rFonts w:eastAsia="方正楷体_GBK" w:cs="方正楷体_GBK" w:hint="eastAsia"/>
          <w:b/>
          <w:bCs/>
          <w:sz w:val="32"/>
          <w:szCs w:val="32"/>
        </w:rPr>
        <w:t>图</w:t>
      </w:r>
      <w:r>
        <w:rPr>
          <w:rFonts w:eastAsia="方正楷体_GBK"/>
          <w:b/>
          <w:bCs/>
          <w:sz w:val="32"/>
          <w:szCs w:val="32"/>
        </w:rPr>
        <w:t>5</w:t>
      </w:r>
      <w:r>
        <w:rPr>
          <w:rFonts w:eastAsia="方正楷体_GBK" w:cs="方正楷体_GBK" w:hint="eastAsia"/>
          <w:b/>
          <w:bCs/>
          <w:sz w:val="32"/>
          <w:szCs w:val="32"/>
        </w:rPr>
        <w:t>：财政拨款支出决算变动情况</w:t>
      </w:r>
    </w:p>
    <w:p>
      <w:pPr>
        <w:pStyle w:val="15"/>
      </w:pPr>
    </w:p>
    <w:p>
      <w:pPr>
        <w:pStyle w:val="15"/>
      </w:pPr>
      <w:r>
        <w:object>
          <v:shape id="_x0000_i5" type="#_x0000_t75" filled="f" stroked="t" style="width:451.25pt;height:243.55pt;" o:ole="">
            <v:stroke color="#000000"/>
            <v:imagedata r:id="rId10" o:title="2632698271786505411228"/>
            <o:lock aspectratio="t"/>
          </v:shape>
          <o:OLEObject Type="Embed" ProgID="Package" ShapeID="_x0000_i5" DrawAspect="Icon" ObjectID="_1393063355" r:id="rId11"/>
        </w:object>
      </w:r>
    </w:p>
    <w:p>
      <w:pPr>
        <w:autoSpaceDN w:val="0"/>
        <w:spacing w:line="560" w:lineRule="exact"/>
        <w:ind w:firstLineChars="1000" w:firstLine="3200"/>
        <w:jc w:val="both"/>
        <w:rPr>
          <w:rFonts w:eastAsia="方正楷体_GBK"/>
          <w:b/>
          <w:bCs/>
          <w:sz w:val="32"/>
          <w:szCs w:val="32"/>
        </w:rPr>
      </w:pPr>
      <w:r>
        <w:rPr>
          <w:rFonts w:eastAsia="方正楷体_GBK" w:cs="方正楷体_GBK" w:hint="eastAsia"/>
          <w:b/>
          <w:bCs/>
          <w:sz w:val="32"/>
          <w:szCs w:val="32"/>
        </w:rPr>
        <w:t>（单位：万元）</w:t>
      </w:r>
    </w:p>
    <w:p>
      <w:pPr>
        <w:tabs>
          <w:tab w:val="left" w:pos="0"/>
        </w:tabs>
        <w:autoSpaceDN w:val="0"/>
        <w:spacing w:line="560" w:lineRule="exact"/>
        <w:ind w:left="640"/>
        <w:rPr>
          <w:rFonts w:eastAsia="方正仿宋_GBK"/>
          <w:b/>
          <w:bCs/>
          <w:kern w:val="0"/>
          <w:sz w:val="32"/>
          <w:szCs w:val="32"/>
        </w:rPr>
      </w:pPr>
      <w:r>
        <w:rPr>
          <w:rFonts w:eastAsia="方正仿宋_GBK" w:hint="eastAsia"/>
          <w:b/>
          <w:bCs/>
          <w:kern w:val="0"/>
          <w:sz w:val="32"/>
          <w:szCs w:val="32"/>
          <w:lang w:eastAsia="zh-CN"/>
        </w:rPr>
        <w:t>（二）</w:t>
      </w:r>
      <w:r>
        <w:rPr>
          <w:rFonts w:eastAsia="方正仿宋_GBK" w:cs="方正仿宋_GBK" w:hint="eastAsia"/>
          <w:b/>
          <w:bCs/>
          <w:kern w:val="0"/>
          <w:sz w:val="32"/>
          <w:szCs w:val="32"/>
        </w:rPr>
        <w:t>财政拨款支出决算结构情况。</w:t>
      </w:r>
    </w:p>
    <w:p>
      <w:pPr>
        <w:autoSpaceDN w:val="0"/>
        <w:spacing w:line="560" w:lineRule="exact"/>
        <w:ind w:firstLineChars="200" w:firstLine="640"/>
        <w:rPr>
          <w:rFonts w:eastAsia="方正仿宋_GBK"/>
          <w:kern w:val="0"/>
          <w:sz w:val="32"/>
          <w:szCs w:val="32"/>
        </w:rPr>
      </w:pPr>
      <w:r>
        <w:rPr>
          <w:rFonts w:eastAsia="方正仿宋_GBK"/>
          <w:kern w:val="0"/>
          <w:sz w:val="32"/>
          <w:szCs w:val="32"/>
        </w:rPr>
        <w:t>202</w:t>
      </w:r>
      <w:r>
        <w:rPr>
          <w:rFonts w:eastAsia="方正仿宋_GBK" w:hint="eastAsia"/>
          <w:kern w:val="0"/>
          <w:sz w:val="32"/>
          <w:szCs w:val="32"/>
          <w:lang w:val="en-US" w:eastAsia="zh-CN"/>
        </w:rPr>
        <w:t>5</w:t>
      </w:r>
      <w:r>
        <w:rPr>
          <w:rFonts w:eastAsia="方正仿宋_GBK" w:cs="方正仿宋_GBK" w:hint="eastAsia"/>
          <w:kern w:val="0"/>
          <w:sz w:val="32"/>
          <w:szCs w:val="32"/>
        </w:rPr>
        <w:t>年度财政拨款支出</w:t>
      </w:r>
      <w:r>
        <w:rPr>
          <w:rFonts w:eastAsia="方正仿宋_GBK" w:hint="eastAsia"/>
          <w:sz w:val="32"/>
          <w:szCs w:val="32"/>
          <w:lang w:val="en-US" w:eastAsia="zh-CN"/>
        </w:rPr>
        <w:t>833.15</w:t>
      </w:r>
      <w:r>
        <w:rPr>
          <w:rFonts w:eastAsia="方正仿宋_GBK" w:cs="方正仿宋_GBK" w:hint="eastAsia"/>
          <w:kern w:val="0"/>
          <w:sz w:val="32"/>
          <w:szCs w:val="32"/>
        </w:rPr>
        <w:t>元，主要用于以下方面：</w:t>
      </w:r>
    </w:p>
    <w:p>
      <w:pPr>
        <w:autoSpaceDN w:val="0"/>
        <w:spacing w:line="560" w:lineRule="exact"/>
        <w:ind w:firstLineChars="200" w:firstLine="640"/>
        <w:rPr>
          <w:rFonts w:eastAsia="方正仿宋_GBK"/>
          <w:kern w:val="0"/>
          <w:sz w:val="32"/>
          <w:szCs w:val="32"/>
        </w:rPr>
      </w:pPr>
      <w:r>
        <w:rPr>
          <w:rFonts w:eastAsia="方正仿宋_GBK" w:cs="方正仿宋_GBK" w:hint="eastAsia"/>
          <w:kern w:val="0"/>
          <w:sz w:val="32"/>
          <w:szCs w:val="32"/>
        </w:rPr>
        <w:t>一般公共服务（类）支出</w:t>
      </w:r>
      <w:r>
        <w:rPr>
          <w:rFonts w:eastAsia="方正仿宋_GBK" w:hint="eastAsia"/>
          <w:kern w:val="0"/>
          <w:sz w:val="32"/>
          <w:szCs w:val="32"/>
          <w:lang w:val="en-US" w:eastAsia="zh-CN"/>
        </w:rPr>
        <w:t>661.45</w:t>
      </w:r>
      <w:r>
        <w:rPr>
          <w:rFonts w:eastAsia="方正仿宋_GBK" w:cs="方正仿宋_GBK" w:hint="eastAsia"/>
          <w:kern w:val="0"/>
          <w:sz w:val="32"/>
          <w:szCs w:val="32"/>
        </w:rPr>
        <w:t>万元，占</w:t>
      </w:r>
      <w:r>
        <w:rPr>
          <w:rFonts w:eastAsia="方正仿宋_GBK" w:hint="eastAsia"/>
          <w:sz w:val="32"/>
          <w:szCs w:val="32"/>
          <w:lang w:val="en-US" w:eastAsia="zh-CN"/>
        </w:rPr>
        <w:t>79.39</w:t>
      </w:r>
      <w:r>
        <w:rPr>
          <w:rFonts w:eastAsia="方正仿宋_GBK"/>
          <w:kern w:val="0"/>
          <w:sz w:val="32"/>
          <w:szCs w:val="32"/>
        </w:rPr>
        <w:t>%</w:t>
      </w:r>
      <w:r>
        <w:rPr>
          <w:rFonts w:eastAsia="方正仿宋_GBK" w:cs="方正仿宋_GBK" w:hint="eastAsia"/>
          <w:kern w:val="0"/>
          <w:sz w:val="32"/>
          <w:szCs w:val="32"/>
        </w:rPr>
        <w:t>；社会保障和就业（类）支出</w:t>
      </w:r>
      <w:r>
        <w:rPr>
          <w:rFonts w:eastAsia="方正仿宋_GBK" w:hint="eastAsia"/>
          <w:kern w:val="0"/>
          <w:sz w:val="32"/>
          <w:szCs w:val="32"/>
          <w:lang w:val="en-US" w:eastAsia="zh-CN"/>
        </w:rPr>
        <w:t>59.68</w:t>
      </w:r>
      <w:r>
        <w:rPr>
          <w:rFonts w:eastAsia="方正仿宋_GBK" w:cs="方正仿宋_GBK" w:hint="eastAsia"/>
          <w:kern w:val="0"/>
          <w:sz w:val="32"/>
          <w:szCs w:val="32"/>
        </w:rPr>
        <w:t>万元，占</w:t>
      </w:r>
      <w:r>
        <w:rPr>
          <w:rFonts w:eastAsia="方正仿宋_GBK" w:hint="eastAsia"/>
          <w:sz w:val="32"/>
          <w:szCs w:val="32"/>
          <w:lang w:val="en-US" w:eastAsia="zh-CN"/>
        </w:rPr>
        <w:t>7.16</w:t>
      </w:r>
      <w:r>
        <w:rPr>
          <w:rFonts w:eastAsia="方正仿宋_GBK"/>
          <w:kern w:val="0"/>
          <w:sz w:val="32"/>
          <w:szCs w:val="32"/>
        </w:rPr>
        <w:t>%</w:t>
      </w:r>
      <w:r>
        <w:rPr>
          <w:rFonts w:eastAsia="方正仿宋_GBK" w:cs="方正仿宋_GBK" w:hint="eastAsia"/>
          <w:kern w:val="0"/>
          <w:sz w:val="32"/>
          <w:szCs w:val="32"/>
        </w:rPr>
        <w:t>；卫生健康（类）支出</w:t>
      </w:r>
      <w:r>
        <w:rPr>
          <w:rFonts w:eastAsia="方正仿宋_GBK" w:hint="eastAsia"/>
          <w:kern w:val="0"/>
          <w:sz w:val="32"/>
          <w:szCs w:val="32"/>
          <w:lang w:val="en-US" w:eastAsia="zh-CN"/>
        </w:rPr>
        <w:t>33.87</w:t>
      </w:r>
      <w:r>
        <w:rPr>
          <w:rFonts w:eastAsia="方正仿宋_GBK" w:cs="方正仿宋_GBK" w:hint="eastAsia"/>
          <w:kern w:val="0"/>
          <w:sz w:val="32"/>
          <w:szCs w:val="32"/>
        </w:rPr>
        <w:t>万元，占</w:t>
      </w:r>
      <w:r>
        <w:rPr>
          <w:rFonts w:eastAsia="方正仿宋_GBK"/>
          <w:sz w:val="32"/>
          <w:szCs w:val="32"/>
        </w:rPr>
        <w:t>4.07</w:t>
      </w:r>
      <w:r>
        <w:rPr>
          <w:rFonts w:eastAsia="方正仿宋_GBK"/>
          <w:kern w:val="0"/>
          <w:sz w:val="32"/>
          <w:szCs w:val="32"/>
        </w:rPr>
        <w:t>%</w:t>
      </w:r>
      <w:r>
        <w:rPr>
          <w:rFonts w:eastAsia="方正仿宋_GBK" w:cs="方正仿宋_GBK" w:hint="eastAsia"/>
          <w:kern w:val="0"/>
          <w:sz w:val="32"/>
          <w:szCs w:val="32"/>
        </w:rPr>
        <w:t>；住房保障（类）支出</w:t>
      </w:r>
      <w:r>
        <w:rPr>
          <w:rFonts w:eastAsia="方正仿宋_GBK" w:hint="eastAsia"/>
          <w:kern w:val="0"/>
          <w:sz w:val="32"/>
          <w:szCs w:val="32"/>
          <w:lang w:val="en-US" w:eastAsia="zh-CN"/>
        </w:rPr>
        <w:t>78.15</w:t>
      </w:r>
      <w:r>
        <w:rPr>
          <w:rFonts w:eastAsia="方正仿宋_GBK" w:cs="方正仿宋_GBK" w:hint="eastAsia"/>
          <w:kern w:val="0"/>
          <w:sz w:val="32"/>
          <w:szCs w:val="32"/>
        </w:rPr>
        <w:t>万元，占</w:t>
      </w:r>
      <w:r>
        <w:rPr>
          <w:rFonts w:eastAsia="方正仿宋_GBK" w:hint="eastAsia"/>
          <w:sz w:val="32"/>
          <w:szCs w:val="32"/>
          <w:lang w:val="en-US" w:eastAsia="zh-CN"/>
        </w:rPr>
        <w:t>9.38</w:t>
      </w:r>
      <w:r>
        <w:rPr>
          <w:rFonts w:eastAsia="方正仿宋_GBK"/>
          <w:kern w:val="0"/>
          <w:sz w:val="32"/>
          <w:szCs w:val="32"/>
        </w:rPr>
        <w:t>%</w:t>
      </w:r>
      <w:r>
        <w:rPr>
          <w:rFonts w:eastAsia="方正仿宋_GBK" w:cs="方正仿宋_GBK" w:hint="eastAsia"/>
          <w:kern w:val="0"/>
          <w:sz w:val="32"/>
          <w:szCs w:val="32"/>
        </w:rPr>
        <w:t>。</w:t>
      </w:r>
    </w:p>
    <w:p>
      <w:pPr>
        <w:pStyle w:val="74"/>
        <w:autoSpaceDN w:val="0"/>
        <w:spacing w:line="560" w:lineRule="exact"/>
        <w:ind w:firstLineChars="600" w:firstLine="1920"/>
        <w:jc w:val="both"/>
        <w:rPr>
          <w:rFonts w:eastAsia="方正楷体_GBK" w:cs="方正楷体_GBK" w:hint="eastAsia"/>
          <w:b/>
          <w:bCs/>
          <w:sz w:val="32"/>
          <w:szCs w:val="32"/>
        </w:rPr>
      </w:pPr>
    </w:p>
    <w:p>
      <w:pPr>
        <w:pStyle w:val="74"/>
        <w:autoSpaceDN w:val="0"/>
        <w:spacing w:line="560" w:lineRule="exact"/>
        <w:ind w:firstLineChars="600" w:firstLine="1920"/>
        <w:jc w:val="both"/>
        <w:rPr>
          <w:rFonts w:eastAsia="方正楷体_GBK" w:cs="方正楷体_GBK" w:hint="eastAsia"/>
          <w:b/>
          <w:bCs/>
          <w:sz w:val="32"/>
          <w:szCs w:val="32"/>
        </w:rPr>
      </w:pPr>
    </w:p>
    <w:p>
      <w:pPr>
        <w:pStyle w:val="15"/>
      </w:pPr>
    </w:p>
    <w:p>
      <w:pPr>
        <w:pStyle w:val="15"/>
      </w:pPr>
    </w:p>
    <w:p>
      <w:pPr>
        <w:pStyle w:val="15"/>
      </w:pPr>
    </w:p>
    <w:p>
      <w:pPr>
        <w:pStyle w:val="15"/>
      </w:pPr>
    </w:p>
    <w:p>
      <w:pPr>
        <w:pStyle w:val="15"/>
      </w:pPr>
    </w:p>
    <w:p>
      <w:pPr>
        <w:pStyle w:val="15"/>
      </w:pPr>
    </w:p>
    <w:p>
      <w:pPr>
        <w:pStyle w:val="74"/>
        <w:autoSpaceDN w:val="0"/>
        <w:spacing w:line="560" w:lineRule="exact"/>
        <w:ind w:firstLineChars="600" w:firstLine="1920"/>
        <w:jc w:val="both"/>
        <w:rPr>
          <w:rFonts w:eastAsia="方正楷体_GBK" w:cs="方正楷体_GBK" w:hint="eastAsia"/>
          <w:b/>
          <w:bCs/>
          <w:sz w:val="32"/>
          <w:szCs w:val="32"/>
        </w:rPr>
      </w:pPr>
    </w:p>
    <w:p>
      <w:pPr>
        <w:pStyle w:val="74"/>
        <w:autoSpaceDN w:val="0"/>
        <w:spacing w:line="560" w:lineRule="exact"/>
        <w:ind w:firstLineChars="600" w:firstLine="1920"/>
        <w:jc w:val="both"/>
        <w:rPr>
          <w:rFonts w:eastAsia="方正楷体_GBK"/>
          <w:b/>
          <w:bCs/>
          <w:sz w:val="32"/>
          <w:szCs w:val="32"/>
        </w:rPr>
      </w:pPr>
      <w:r>
        <w:rPr>
          <w:rFonts w:eastAsia="方正楷体_GBK" w:cs="方正楷体_GBK" w:hint="eastAsia"/>
          <w:b/>
          <w:bCs/>
          <w:sz w:val="32"/>
          <w:szCs w:val="32"/>
        </w:rPr>
        <w:t>图</w:t>
      </w:r>
      <w:r>
        <w:rPr>
          <w:rFonts w:eastAsia="方正楷体_GBK"/>
          <w:b/>
          <w:bCs/>
          <w:sz w:val="32"/>
          <w:szCs w:val="32"/>
        </w:rPr>
        <w:t>6</w:t>
      </w:r>
      <w:r>
        <w:rPr>
          <w:rFonts w:eastAsia="方正楷体_GBK" w:cs="方正楷体_GBK" w:hint="eastAsia"/>
          <w:b/>
          <w:bCs/>
          <w:sz w:val="32"/>
          <w:szCs w:val="32"/>
        </w:rPr>
        <w:t>：财政拨款支出决算结构</w:t>
      </w:r>
    </w:p>
    <w:p>
      <w:pPr>
        <w:pStyle w:val="15"/>
      </w:pPr>
    </w:p>
    <w:p>
      <w:pPr>
        <w:pStyle w:val="15"/>
      </w:pPr>
      <w:r>
        <w:object>
          <v:shape id="_x0000_i6" type="#_x0000_t75" filled="f" stroked="t" style="width:430.55pt;height:180.05pt;" o:ole="">
            <v:stroke color="#000000"/>
            <v:imagedata r:id="rId12" o:title="4929179451786505411230"/>
            <o:lock aspectratio="t"/>
          </v:shape>
          <o:OLEObject Type="Embed" ProgID="Package" ShapeID="_x0000_i6" DrawAspect="Icon" ObjectID="_1393063356" r:id="rId13"/>
        </w:object>
      </w:r>
    </w:p>
    <w:p>
      <w:pPr>
        <w:pStyle w:val="15"/>
      </w:pPr>
    </w:p>
    <w:p>
      <w:pPr>
        <w:tabs>
          <w:tab w:val="left" w:pos="0"/>
        </w:tabs>
        <w:autoSpaceDN w:val="0"/>
        <w:spacing w:line="560" w:lineRule="exact"/>
        <w:ind w:left="640"/>
        <w:rPr>
          <w:rFonts w:eastAsia="方正仿宋_GBK" w:cs="方正仿宋_GBK" w:hint="eastAsia"/>
          <w:b/>
          <w:bCs/>
          <w:kern w:val="0"/>
          <w:sz w:val="32"/>
          <w:szCs w:val="32"/>
          <w:lang w:eastAsia="zh-CN"/>
        </w:rPr>
      </w:pPr>
      <w:r>
        <w:rPr>
          <w:rFonts w:eastAsia="方正仿宋_GBK" w:cs="方正仿宋_GBK" w:hint="eastAsia"/>
          <w:b/>
          <w:bCs/>
          <w:kern w:val="0"/>
          <w:sz w:val="32"/>
          <w:szCs w:val="32"/>
          <w:lang w:val="en-US" w:eastAsia="zh-CN"/>
        </w:rPr>
        <w:t>（三）</w:t>
      </w:r>
      <w:r>
        <w:rPr>
          <w:rFonts w:ascii="方正仿宋_GBK" w:eastAsia="方正仿宋_GBK" w:cs="方正仿宋_GBK" w:hint="eastAsia"/>
          <w:b/>
          <w:bCs/>
          <w:color w:val="000000"/>
          <w:kern w:val="0"/>
          <w:sz w:val="32"/>
          <w:szCs w:val="32"/>
          <w:lang w:val="en-US" w:eastAsia="zh-CN"/>
        </w:rPr>
        <w:t>一般公共预算财政拨款支出决算具体情况。</w:t>
      </w:r>
    </w:p>
    <w:p>
      <w:pPr>
        <w:keepNext w:val="0"/>
        <w:keepLines w:val="0"/>
        <w:widowControl/>
        <w:suppressLineNumbers w:val="0"/>
        <w:ind w:left="0" w:firstLineChars="200" w:firstLine="640"/>
        <w:jc w:val="left"/>
      </w:pPr>
      <w:r>
        <w:rPr>
          <w:rFonts w:ascii="Times New Roman" w:eastAsia="宋体" w:cs="Times New Roman" w:hAnsi="Times New Roman"/>
          <w:color w:val="000000"/>
          <w:kern w:val="0"/>
          <w:sz w:val="32"/>
          <w:szCs w:val="32"/>
          <w:lang w:val="en-US" w:eastAsia="zh-CN"/>
        </w:rPr>
        <w:t>2025</w:t>
      </w:r>
      <w:r>
        <w:rPr>
          <w:rFonts w:ascii="方正仿宋_GBK" w:eastAsia="方正仿宋_GBK" w:cs="方正仿宋_GBK"/>
          <w:color w:val="000000"/>
          <w:kern w:val="0"/>
          <w:sz w:val="32"/>
          <w:szCs w:val="32"/>
          <w:lang w:val="en-US" w:eastAsia="zh-CN"/>
        </w:rPr>
        <w:t>年度一般公共预算财政拨款支出年初预算</w:t>
      </w:r>
      <w:r>
        <w:rPr>
          <w:rFonts w:ascii="方正仿宋_GBK" w:eastAsia="方正仿宋_GBK" w:cs="方正仿宋_GBK" w:hint="eastAsia"/>
          <w:color w:val="000000"/>
          <w:kern w:val="0"/>
          <w:sz w:val="32"/>
          <w:szCs w:val="32"/>
          <w:lang w:val="en-US" w:eastAsia="zh-CN"/>
        </w:rPr>
        <w:t>为</w:t>
      </w:r>
      <w:r>
        <w:rPr>
          <w:rFonts w:cs="Times New Roman" w:hint="eastAsia"/>
          <w:color w:val="000000"/>
          <w:kern w:val="0"/>
          <w:sz w:val="32"/>
          <w:szCs w:val="32"/>
          <w:lang w:val="en-US" w:eastAsia="zh-CN"/>
        </w:rPr>
        <w:t>849.87</w:t>
      </w:r>
      <w:r>
        <w:rPr>
          <w:rFonts w:ascii="方正仿宋_GBK" w:eastAsia="方正仿宋_GBK" w:cs="方正仿宋_GBK" w:hint="eastAsia"/>
          <w:color w:val="000000"/>
          <w:kern w:val="0"/>
          <w:sz w:val="32"/>
          <w:szCs w:val="32"/>
          <w:lang w:val="en-US" w:eastAsia="zh-CN"/>
        </w:rPr>
        <w:t>万元，支出决算为</w:t>
      </w:r>
      <w:r>
        <w:rPr>
          <w:rFonts w:cs="Times New Roman" w:hint="eastAsia"/>
          <w:color w:val="000000"/>
          <w:kern w:val="0"/>
          <w:sz w:val="32"/>
          <w:szCs w:val="32"/>
          <w:lang w:val="en-US" w:eastAsia="zh-CN"/>
        </w:rPr>
        <w:t>833.15</w:t>
      </w:r>
      <w:r>
        <w:rPr>
          <w:rFonts w:ascii="方正仿宋_GBK" w:eastAsia="方正仿宋_GBK" w:cs="方正仿宋_GBK" w:hint="eastAsia"/>
          <w:color w:val="000000"/>
          <w:kern w:val="0"/>
          <w:sz w:val="32"/>
          <w:szCs w:val="32"/>
          <w:lang w:val="en-US" w:eastAsia="zh-CN"/>
        </w:rPr>
        <w:t>万元，完成年初预算的</w:t>
      </w:r>
      <w:r>
        <w:rPr>
          <w:rFonts w:ascii="Times New Roman" w:eastAsia="宋体" w:cs="Times New Roman" w:hAnsi="Times New Roman"/>
          <w:color w:val="000000"/>
          <w:kern w:val="0"/>
          <w:sz w:val="32"/>
          <w:szCs w:val="32"/>
          <w:lang w:val="en-US" w:eastAsia="zh-CN"/>
        </w:rPr>
        <w:t>98.</w:t>
      </w:r>
      <w:r>
        <w:rPr>
          <w:rFonts w:cs="Times New Roman" w:hint="eastAsia"/>
          <w:color w:val="000000"/>
          <w:kern w:val="0"/>
          <w:sz w:val="32"/>
          <w:szCs w:val="32"/>
          <w:lang w:val="en-US" w:eastAsia="zh-CN"/>
        </w:rPr>
        <w:t>03</w:t>
      </w:r>
      <w:r>
        <w:rPr>
          <w:rFonts w:ascii="Times New Roman" w:eastAsia="宋体" w:cs="Times New Roman" w:hAnsi="Times New Roman"/>
          <w:color w:val="000000"/>
          <w:kern w:val="0"/>
          <w:sz w:val="32"/>
          <w:szCs w:val="32"/>
          <w:lang w:val="en-US" w:eastAsia="zh-CN"/>
        </w:rPr>
        <w:t>%</w:t>
      </w:r>
      <w:r>
        <w:rPr>
          <w:rFonts w:ascii="方正仿宋_GBK" w:eastAsia="方正仿宋_GBK" w:cs="方正仿宋_GBK" w:hint="eastAsia"/>
          <w:color w:val="000000"/>
          <w:kern w:val="0"/>
          <w:sz w:val="32"/>
          <w:szCs w:val="32"/>
          <w:lang w:val="en-US" w:eastAsia="zh-CN"/>
        </w:rPr>
        <w:t xml:space="preserve">。其中： </w:t>
      </w:r>
    </w:p>
    <w:p>
      <w:pPr>
        <w:keepNext w:val="0"/>
        <w:keepLines w:val="0"/>
        <w:widowControl/>
        <w:suppressLineNumbers w:val="0"/>
        <w:ind w:firstLineChars="200" w:firstLine="640"/>
        <w:jc w:val="left"/>
      </w:pPr>
      <w:r>
        <w:rPr>
          <w:rFonts w:ascii="Times New Roman" w:eastAsia="宋体" w:cs="Times New Roman" w:hAnsi="Times New Roman"/>
          <w:color w:val="000000"/>
          <w:kern w:val="0"/>
          <w:sz w:val="32"/>
          <w:szCs w:val="32"/>
          <w:lang w:val="en-US" w:eastAsia="zh-CN"/>
        </w:rPr>
        <w:t>1</w:t>
      </w:r>
      <w:r>
        <w:rPr>
          <w:rFonts w:ascii="方正仿宋_GBK" w:eastAsia="方正仿宋_GBK" w:cs="方正仿宋_GBK" w:hint="eastAsia"/>
          <w:color w:val="000000"/>
          <w:kern w:val="0"/>
          <w:sz w:val="32"/>
          <w:szCs w:val="32"/>
          <w:lang w:val="en-US" w:eastAsia="zh-CN"/>
        </w:rPr>
        <w:t>．一般公共服务支出（类）海关事务（款）行政运行（项）年初预算为</w:t>
      </w:r>
      <w:r>
        <w:rPr>
          <w:rFonts w:cs="Times New Roman" w:hint="eastAsia"/>
          <w:color w:val="000000"/>
          <w:kern w:val="0"/>
          <w:sz w:val="32"/>
          <w:szCs w:val="32"/>
          <w:lang w:val="en-US" w:eastAsia="zh-CN"/>
        </w:rPr>
        <w:t>520.4</w:t>
      </w:r>
      <w:r>
        <w:rPr>
          <w:rFonts w:ascii="方正仿宋_GBK" w:eastAsia="方正仿宋_GBK" w:cs="方正仿宋_GBK" w:hint="eastAsia"/>
          <w:color w:val="000000"/>
          <w:kern w:val="0"/>
          <w:sz w:val="32"/>
          <w:szCs w:val="32"/>
          <w:lang w:val="en-US" w:eastAsia="zh-CN"/>
        </w:rPr>
        <w:t>万元，支出决算为</w:t>
      </w:r>
      <w:r>
        <w:rPr>
          <w:rFonts w:cs="Times New Roman" w:hint="eastAsia"/>
          <w:color w:val="000000"/>
          <w:kern w:val="0"/>
          <w:sz w:val="32"/>
          <w:szCs w:val="32"/>
          <w:lang w:val="en-US" w:eastAsia="zh-CN"/>
        </w:rPr>
        <w:t>518.69</w:t>
      </w:r>
      <w:r>
        <w:rPr>
          <w:rFonts w:ascii="方正仿宋_GBK" w:eastAsia="方正仿宋_GBK" w:cs="方正仿宋_GBK" w:hint="eastAsia"/>
          <w:color w:val="000000"/>
          <w:kern w:val="0"/>
          <w:sz w:val="32"/>
          <w:szCs w:val="32"/>
          <w:lang w:val="en-US" w:eastAsia="zh-CN"/>
        </w:rPr>
        <w:t>万元，完成年初预算的</w:t>
      </w:r>
      <w:r>
        <w:rPr>
          <w:rFonts w:cs="Times New Roman" w:hint="eastAsia"/>
          <w:color w:val="000000"/>
          <w:kern w:val="0"/>
          <w:sz w:val="32"/>
          <w:szCs w:val="32"/>
          <w:lang w:val="en-US" w:eastAsia="zh-CN"/>
        </w:rPr>
        <w:t>99.67</w:t>
      </w:r>
      <w:r>
        <w:rPr>
          <w:rFonts w:ascii="Times New Roman" w:eastAsia="宋体" w:cs="Times New Roman" w:hAnsi="Times New Roman"/>
          <w:color w:val="000000"/>
          <w:kern w:val="0"/>
          <w:sz w:val="32"/>
          <w:szCs w:val="32"/>
          <w:lang w:val="en-US" w:eastAsia="zh-CN"/>
        </w:rPr>
        <w:t>%</w:t>
      </w:r>
      <w:r>
        <w:rPr>
          <w:rFonts w:ascii="方正仿宋_GBK" w:eastAsia="方正仿宋_GBK" w:cs="方正仿宋_GBK" w:hint="eastAsia"/>
          <w:color w:val="000000"/>
          <w:kern w:val="0"/>
          <w:sz w:val="32"/>
          <w:szCs w:val="32"/>
          <w:lang w:val="en-US" w:eastAsia="zh-CN"/>
        </w:rPr>
        <w:t>。</w:t>
      </w:r>
    </w:p>
    <w:p>
      <w:pPr>
        <w:keepNext w:val="0"/>
        <w:keepLines w:val="0"/>
        <w:widowControl/>
        <w:suppressLineNumbers w:val="0"/>
        <w:ind w:firstLineChars="200" w:firstLine="640"/>
        <w:jc w:val="left"/>
      </w:pPr>
      <w:r>
        <w:rPr>
          <w:rFonts w:cs="Times New Roman" w:hint="eastAsia"/>
          <w:color w:val="000000"/>
          <w:kern w:val="0"/>
          <w:sz w:val="32"/>
          <w:szCs w:val="32"/>
          <w:lang w:val="en-US" w:eastAsia="zh-CN"/>
        </w:rPr>
        <w:t>2</w:t>
      </w:r>
      <w:r>
        <w:rPr>
          <w:rFonts w:ascii="方正仿宋_GBK" w:eastAsia="方正仿宋_GBK" w:cs="方正仿宋_GBK" w:hint="eastAsia"/>
          <w:color w:val="000000"/>
          <w:kern w:val="0"/>
          <w:sz w:val="32"/>
          <w:szCs w:val="32"/>
          <w:lang w:val="en-US" w:eastAsia="zh-CN"/>
        </w:rPr>
        <w:t>．一般公共服务支出（类）海关事务（款）海关关务（项）年初预算为</w:t>
      </w:r>
      <w:r>
        <w:rPr>
          <w:rFonts w:cs="Times New Roman" w:hint="eastAsia"/>
          <w:color w:val="000000"/>
          <w:kern w:val="0"/>
          <w:sz w:val="32"/>
          <w:szCs w:val="32"/>
          <w:lang w:val="en-US" w:eastAsia="zh-CN"/>
        </w:rPr>
        <w:t>85.08</w:t>
      </w:r>
      <w:r>
        <w:rPr>
          <w:rFonts w:ascii="方正仿宋_GBK" w:eastAsia="方正仿宋_GBK" w:cs="方正仿宋_GBK" w:hint="eastAsia"/>
          <w:color w:val="000000"/>
          <w:kern w:val="0"/>
          <w:sz w:val="32"/>
          <w:szCs w:val="32"/>
          <w:lang w:val="en-US" w:eastAsia="zh-CN"/>
        </w:rPr>
        <w:t>万元，支出决算为</w:t>
      </w:r>
      <w:r>
        <w:rPr>
          <w:rFonts w:cs="Times New Roman" w:hint="eastAsia"/>
          <w:color w:val="000000"/>
          <w:kern w:val="0"/>
          <w:sz w:val="32"/>
          <w:szCs w:val="32"/>
          <w:lang w:val="en-US" w:eastAsia="zh-CN"/>
        </w:rPr>
        <w:t>85.08</w:t>
      </w:r>
      <w:r>
        <w:rPr>
          <w:rFonts w:ascii="方正仿宋_GBK" w:eastAsia="方正仿宋_GBK" w:cs="方正仿宋_GBK" w:hint="eastAsia"/>
          <w:color w:val="000000"/>
          <w:kern w:val="0"/>
          <w:sz w:val="32"/>
          <w:szCs w:val="32"/>
          <w:lang w:val="en-US" w:eastAsia="zh-CN"/>
        </w:rPr>
        <w:t>万元，完成年初预算的</w:t>
      </w:r>
      <w:r>
        <w:rPr>
          <w:rFonts w:cs="Times New Roman" w:hint="eastAsia"/>
          <w:color w:val="000000"/>
          <w:kern w:val="0"/>
          <w:sz w:val="32"/>
          <w:szCs w:val="32"/>
          <w:lang w:val="en-US" w:eastAsia="zh-CN"/>
        </w:rPr>
        <w:t>100</w:t>
      </w:r>
      <w:r>
        <w:rPr>
          <w:rFonts w:ascii="Times New Roman" w:eastAsia="宋体" w:cs="Times New Roman" w:hAnsi="Times New Roman"/>
          <w:color w:val="000000"/>
          <w:kern w:val="0"/>
          <w:sz w:val="32"/>
          <w:szCs w:val="32"/>
          <w:lang w:val="en-US" w:eastAsia="zh-CN"/>
        </w:rPr>
        <w:t>%</w:t>
      </w:r>
      <w:r>
        <w:rPr>
          <w:rFonts w:ascii="方正仿宋_GBK" w:eastAsia="方正仿宋_GBK" w:cs="方正仿宋_GBK" w:hint="eastAsia"/>
          <w:color w:val="000000"/>
          <w:kern w:val="0"/>
          <w:sz w:val="32"/>
          <w:szCs w:val="32"/>
          <w:lang w:val="en-US" w:eastAsia="zh-CN"/>
        </w:rPr>
        <w:t>。</w:t>
      </w:r>
    </w:p>
    <w:p>
      <w:pPr>
        <w:keepNext w:val="0"/>
        <w:keepLines w:val="0"/>
        <w:widowControl/>
        <w:suppressLineNumbers w:val="0"/>
        <w:ind w:firstLineChars="200" w:firstLine="640"/>
        <w:jc w:val="left"/>
      </w:pPr>
      <w:r>
        <w:rPr>
          <w:rFonts w:cs="Times New Roman" w:hint="eastAsia"/>
          <w:color w:val="000000"/>
          <w:kern w:val="0"/>
          <w:sz w:val="32"/>
          <w:szCs w:val="32"/>
          <w:lang w:val="en-US" w:eastAsia="zh-CN"/>
        </w:rPr>
        <w:t>3</w:t>
      </w:r>
      <w:r>
        <w:rPr>
          <w:rFonts w:ascii="方正仿宋_GBK" w:eastAsia="方正仿宋_GBK" w:cs="方正仿宋_GBK" w:hint="eastAsia"/>
          <w:color w:val="000000"/>
          <w:kern w:val="0"/>
          <w:sz w:val="32"/>
          <w:szCs w:val="32"/>
          <w:lang w:val="en-US" w:eastAsia="zh-CN"/>
        </w:rPr>
        <w:t>．一般公共服务支出（类）海关事务（款）海关监管（项）年初预算为</w:t>
      </w:r>
      <w:r>
        <w:rPr>
          <w:rFonts w:cs="Times New Roman" w:hint="eastAsia"/>
          <w:color w:val="000000"/>
          <w:kern w:val="0"/>
          <w:sz w:val="32"/>
          <w:szCs w:val="32"/>
          <w:lang w:val="en-US" w:eastAsia="zh-CN"/>
        </w:rPr>
        <w:t>55.5</w:t>
      </w:r>
      <w:r>
        <w:rPr>
          <w:rFonts w:ascii="方正仿宋_GBK" w:eastAsia="方正仿宋_GBK" w:cs="方正仿宋_GBK" w:hint="eastAsia"/>
          <w:color w:val="000000"/>
          <w:kern w:val="0"/>
          <w:sz w:val="32"/>
          <w:szCs w:val="32"/>
          <w:lang w:val="en-US" w:eastAsia="zh-CN"/>
        </w:rPr>
        <w:t>万元，支出决算为</w:t>
      </w:r>
      <w:r>
        <w:rPr>
          <w:rFonts w:cs="Times New Roman" w:hint="eastAsia"/>
          <w:color w:val="000000"/>
          <w:kern w:val="0"/>
          <w:sz w:val="32"/>
          <w:szCs w:val="32"/>
          <w:lang w:val="en-US" w:eastAsia="zh-CN"/>
        </w:rPr>
        <w:t>51.08</w:t>
      </w:r>
      <w:r>
        <w:rPr>
          <w:rFonts w:ascii="方正仿宋_GBK" w:eastAsia="方正仿宋_GBK" w:cs="方正仿宋_GBK" w:hint="eastAsia"/>
          <w:color w:val="000000"/>
          <w:kern w:val="0"/>
          <w:sz w:val="32"/>
          <w:szCs w:val="32"/>
          <w:lang w:val="en-US" w:eastAsia="zh-CN"/>
        </w:rPr>
        <w:t>万元， 完成年初预算的</w:t>
      </w:r>
      <w:r>
        <w:rPr>
          <w:rFonts w:cs="Times New Roman" w:hint="eastAsia"/>
          <w:color w:val="000000"/>
          <w:kern w:val="0"/>
          <w:sz w:val="32"/>
          <w:szCs w:val="32"/>
          <w:lang w:val="en-US" w:eastAsia="zh-CN"/>
        </w:rPr>
        <w:t>92.04</w:t>
      </w:r>
      <w:r>
        <w:rPr>
          <w:rFonts w:ascii="Times New Roman" w:eastAsia="宋体" w:cs="Times New Roman" w:hAnsi="Times New Roman"/>
          <w:color w:val="000000"/>
          <w:kern w:val="0"/>
          <w:sz w:val="32"/>
          <w:szCs w:val="32"/>
          <w:lang w:val="en-US" w:eastAsia="zh-CN"/>
        </w:rPr>
        <w:t>%</w:t>
      </w:r>
      <w:r>
        <w:rPr>
          <w:rFonts w:cs="Times New Roman" w:hint="eastAsia"/>
          <w:color w:val="000000"/>
          <w:kern w:val="0"/>
          <w:sz w:val="32"/>
          <w:szCs w:val="32"/>
          <w:lang w:val="en-US" w:eastAsia="zh-CN"/>
        </w:rPr>
        <w:t>，</w:t>
      </w:r>
      <w:r>
        <w:rPr>
          <w:rFonts w:ascii="方正仿宋_GBK" w:eastAsia="方正仿宋_GBK" w:cs="方正仿宋_GBK" w:hint="eastAsia"/>
          <w:color w:val="000000"/>
          <w:kern w:val="0"/>
          <w:sz w:val="32"/>
          <w:szCs w:val="32"/>
          <w:lang w:val="en-US" w:eastAsia="zh-CN"/>
        </w:rPr>
        <w:t xml:space="preserve">结转的原因为设备为政府采购项目，实际合同采购金额小于预算金额。 </w:t>
      </w:r>
    </w:p>
    <w:p>
      <w:pPr>
        <w:keepNext w:val="0"/>
        <w:keepLines w:val="0"/>
        <w:widowControl/>
        <w:suppressLineNumbers w:val="0"/>
        <w:ind w:firstLineChars="200" w:firstLine="640"/>
        <w:jc w:val="left"/>
        <w:rPr>
          <w:rFonts w:ascii="方正仿宋_GBK" w:eastAsia="方正仿宋_GBK" w:cs="方正仿宋_GBK" w:hint="eastAsia"/>
          <w:color w:val="000000"/>
          <w:kern w:val="0"/>
          <w:sz w:val="32"/>
          <w:szCs w:val="32"/>
          <w:lang w:val="en-US" w:eastAsia="zh-CN"/>
        </w:rPr>
      </w:pPr>
      <w:r>
        <w:rPr>
          <w:rFonts w:cs="Times New Roman" w:hint="eastAsia"/>
          <w:color w:val="000000"/>
          <w:kern w:val="0"/>
          <w:sz w:val="32"/>
          <w:szCs w:val="32"/>
          <w:lang w:val="en-US" w:eastAsia="zh-CN"/>
        </w:rPr>
        <w:t>4</w:t>
      </w:r>
      <w:r>
        <w:rPr>
          <w:rFonts w:ascii="方正仿宋_GBK" w:eastAsia="方正仿宋_GBK" w:cs="方正仿宋_GBK" w:hint="eastAsia"/>
          <w:color w:val="000000"/>
          <w:kern w:val="0"/>
          <w:sz w:val="32"/>
          <w:szCs w:val="32"/>
          <w:lang w:val="en-US" w:eastAsia="zh-CN"/>
        </w:rPr>
        <w:t>．一般公共服务支出（类）海关事务（款）检验检疫（项）年初预算为</w:t>
      </w:r>
      <w:r>
        <w:rPr>
          <w:rFonts w:cs="Times New Roman" w:hint="eastAsia"/>
          <w:color w:val="000000"/>
          <w:kern w:val="0"/>
          <w:sz w:val="32"/>
          <w:szCs w:val="32"/>
          <w:lang w:val="en-US" w:eastAsia="zh-CN"/>
        </w:rPr>
        <w:t>6.6</w:t>
      </w:r>
      <w:r>
        <w:rPr>
          <w:rFonts w:ascii="方正仿宋_GBK" w:eastAsia="方正仿宋_GBK" w:cs="方正仿宋_GBK" w:hint="eastAsia"/>
          <w:color w:val="000000"/>
          <w:kern w:val="0"/>
          <w:sz w:val="32"/>
          <w:szCs w:val="32"/>
          <w:lang w:val="en-US" w:eastAsia="zh-CN"/>
        </w:rPr>
        <w:t>万元，支出决算为</w:t>
      </w:r>
      <w:r>
        <w:rPr>
          <w:rFonts w:cs="Times New Roman" w:hint="eastAsia"/>
          <w:color w:val="000000"/>
          <w:kern w:val="0"/>
          <w:sz w:val="32"/>
          <w:szCs w:val="32"/>
          <w:lang w:val="en-US" w:eastAsia="zh-CN"/>
        </w:rPr>
        <w:t>6.6</w:t>
      </w:r>
      <w:r>
        <w:rPr>
          <w:rFonts w:ascii="方正仿宋_GBK" w:eastAsia="方正仿宋_GBK" w:cs="方正仿宋_GBK" w:hint="eastAsia"/>
          <w:color w:val="000000"/>
          <w:kern w:val="0"/>
          <w:sz w:val="32"/>
          <w:szCs w:val="32"/>
          <w:lang w:val="en-US" w:eastAsia="zh-CN"/>
        </w:rPr>
        <w:t>万</w:t>
      </w:r>
      <w:r>
        <w:rPr>
          <w:rFonts w:ascii="方正仿宋_GBK" w:eastAsia="方正仿宋_GBK" w:cs="方正仿宋_GBK"/>
          <w:color w:val="000000"/>
          <w:kern w:val="0"/>
          <w:sz w:val="32"/>
          <w:szCs w:val="32"/>
          <w:lang w:val="en-US" w:eastAsia="zh-CN"/>
        </w:rPr>
        <w:t>元</w:t>
      </w:r>
      <w:r>
        <w:rPr>
          <w:rFonts w:ascii="方正仿宋_GBK" w:eastAsia="方正仿宋_GBK" w:cs="方正仿宋_GBK" w:hint="eastAsia"/>
          <w:color w:val="000000"/>
          <w:kern w:val="0"/>
          <w:sz w:val="32"/>
          <w:szCs w:val="32"/>
          <w:lang w:val="en-US" w:eastAsia="zh-CN"/>
        </w:rPr>
        <w:t>。</w:t>
      </w:r>
    </w:p>
    <w:p>
      <w:pPr>
        <w:keepNext w:val="0"/>
        <w:keepLines w:val="0"/>
        <w:widowControl/>
        <w:suppressLineNumbers w:val="0"/>
        <w:ind w:firstLineChars="200" w:firstLine="640"/>
        <w:jc w:val="left"/>
      </w:pPr>
      <w:r>
        <w:rPr>
          <w:rFonts w:cs="Times New Roman" w:hint="eastAsia"/>
          <w:color w:val="000000"/>
          <w:kern w:val="0"/>
          <w:sz w:val="32"/>
          <w:szCs w:val="32"/>
          <w:lang w:val="en-US" w:eastAsia="zh-CN"/>
        </w:rPr>
        <w:t>5</w:t>
      </w:r>
      <w:r>
        <w:rPr>
          <w:rFonts w:ascii="Times New Roman" w:eastAsia="宋体" w:cs="Times New Roman" w:hAnsi="Times New Roman"/>
          <w:color w:val="000000"/>
          <w:kern w:val="0"/>
          <w:sz w:val="32"/>
          <w:szCs w:val="32"/>
          <w:lang w:val="en-US" w:eastAsia="zh-CN"/>
        </w:rPr>
        <w:t xml:space="preserve">. </w:t>
      </w:r>
      <w:r>
        <w:rPr>
          <w:rFonts w:ascii="方正仿宋_GBK" w:eastAsia="方正仿宋_GBK" w:cs="方正仿宋_GBK" w:hint="eastAsia"/>
          <w:color w:val="000000"/>
          <w:kern w:val="0"/>
          <w:sz w:val="32"/>
          <w:szCs w:val="32"/>
          <w:lang w:val="en-US" w:eastAsia="zh-CN"/>
        </w:rPr>
        <w:t>社会保障和就业支出（类）行政事业单位养老支出（款）行政单位离退休（项）年初预算为</w:t>
      </w:r>
      <w:r>
        <w:rPr>
          <w:rFonts w:cs="Times New Roman" w:hint="eastAsia"/>
          <w:color w:val="000000"/>
          <w:kern w:val="0"/>
          <w:sz w:val="32"/>
          <w:szCs w:val="32"/>
          <w:lang w:val="en-US" w:eastAsia="zh-CN"/>
        </w:rPr>
        <w:t>0.9</w:t>
      </w:r>
      <w:r>
        <w:rPr>
          <w:rFonts w:ascii="方正仿宋_GBK" w:eastAsia="方正仿宋_GBK" w:cs="方正仿宋_GBK" w:hint="eastAsia"/>
          <w:color w:val="000000"/>
          <w:kern w:val="0"/>
          <w:sz w:val="32"/>
          <w:szCs w:val="32"/>
          <w:lang w:val="en-US" w:eastAsia="zh-CN"/>
        </w:rPr>
        <w:t>万元，支出决算为</w:t>
      </w:r>
      <w:r>
        <w:rPr>
          <w:rFonts w:cs="Times New Roman" w:hint="eastAsia"/>
          <w:color w:val="000000"/>
          <w:kern w:val="0"/>
          <w:sz w:val="32"/>
          <w:szCs w:val="32"/>
          <w:lang w:val="en-US" w:eastAsia="zh-CN"/>
        </w:rPr>
        <w:t>0.9</w:t>
      </w:r>
      <w:r>
        <w:rPr>
          <w:rFonts w:ascii="方正仿宋_GBK" w:eastAsia="方正仿宋_GBK" w:cs="方正仿宋_GBK" w:hint="eastAsia"/>
          <w:color w:val="000000"/>
          <w:kern w:val="0"/>
          <w:sz w:val="32"/>
          <w:szCs w:val="32"/>
          <w:lang w:val="en-US" w:eastAsia="zh-CN"/>
        </w:rPr>
        <w:t>万元，完成年初预算的</w:t>
      </w:r>
      <w:r>
        <w:rPr>
          <w:rFonts w:cs="Times New Roman" w:hint="eastAsia"/>
          <w:color w:val="000000"/>
          <w:kern w:val="0"/>
          <w:sz w:val="32"/>
          <w:szCs w:val="32"/>
          <w:lang w:val="en-US" w:eastAsia="zh-CN"/>
        </w:rPr>
        <w:t>100</w:t>
      </w:r>
      <w:r>
        <w:rPr>
          <w:rFonts w:ascii="Times New Roman" w:eastAsia="宋体" w:cs="Times New Roman" w:hAnsi="Times New Roman"/>
          <w:color w:val="000000"/>
          <w:kern w:val="0"/>
          <w:sz w:val="32"/>
          <w:szCs w:val="32"/>
          <w:lang w:val="en-US" w:eastAsia="zh-CN"/>
        </w:rPr>
        <w:t>%</w:t>
      </w:r>
      <w:r>
        <w:rPr>
          <w:rFonts w:ascii="方正仿宋_GBK" w:eastAsia="方正仿宋_GBK" w:cs="方正仿宋_GBK" w:hint="eastAsia"/>
          <w:color w:val="000000"/>
          <w:kern w:val="0"/>
          <w:sz w:val="32"/>
          <w:szCs w:val="32"/>
          <w:lang w:val="en-US" w:eastAsia="zh-CN"/>
        </w:rPr>
        <w:t xml:space="preserve">。 </w:t>
      </w:r>
    </w:p>
    <w:p>
      <w:pPr>
        <w:keepNext w:val="0"/>
        <w:keepLines w:val="0"/>
        <w:widowControl/>
        <w:suppressLineNumbers w:val="0"/>
        <w:ind w:firstLineChars="200" w:firstLine="640"/>
        <w:jc w:val="left"/>
      </w:pPr>
      <w:r>
        <w:rPr>
          <w:rFonts w:ascii="Times New Roman" w:eastAsia="宋体" w:cs="Times New Roman" w:hAnsi="Times New Roman"/>
          <w:color w:val="000000"/>
          <w:kern w:val="0"/>
          <w:sz w:val="32"/>
          <w:szCs w:val="32"/>
          <w:lang w:val="en-US" w:eastAsia="zh-CN"/>
        </w:rPr>
        <w:t>6</w:t>
      </w:r>
      <w:r>
        <w:rPr>
          <w:rFonts w:ascii="方正仿宋_GBK" w:eastAsia="方正仿宋_GBK" w:cs="方正仿宋_GBK" w:hint="eastAsia"/>
          <w:color w:val="000000"/>
          <w:kern w:val="0"/>
          <w:sz w:val="32"/>
          <w:szCs w:val="32"/>
          <w:lang w:val="en-US" w:eastAsia="zh-CN"/>
        </w:rPr>
        <w:t>．社会保障和就业支出（类）行政事业单位养老支出（款）机关事业单位基本养老保险缴费支出（项）年初预算为</w:t>
      </w:r>
      <w:r>
        <w:rPr>
          <w:rFonts w:cs="Times New Roman" w:hint="eastAsia"/>
          <w:color w:val="000000"/>
          <w:kern w:val="0"/>
          <w:sz w:val="32"/>
          <w:szCs w:val="32"/>
          <w:lang w:val="en-US" w:eastAsia="zh-CN"/>
        </w:rPr>
        <w:t>44.05</w:t>
      </w:r>
      <w:r>
        <w:rPr>
          <w:rFonts w:ascii="方正仿宋_GBK" w:eastAsia="方正仿宋_GBK" w:cs="方正仿宋_GBK" w:hint="eastAsia"/>
          <w:color w:val="000000"/>
          <w:kern w:val="0"/>
          <w:sz w:val="32"/>
          <w:szCs w:val="32"/>
          <w:lang w:val="en-US" w:eastAsia="zh-CN"/>
        </w:rPr>
        <w:t>万元，支出决算为</w:t>
      </w:r>
      <w:r>
        <w:rPr>
          <w:rFonts w:cs="Times New Roman" w:hint="eastAsia"/>
          <w:color w:val="000000"/>
          <w:kern w:val="0"/>
          <w:sz w:val="32"/>
          <w:szCs w:val="32"/>
          <w:lang w:val="en-US" w:eastAsia="zh-CN"/>
        </w:rPr>
        <w:t>39.19</w:t>
      </w:r>
      <w:r>
        <w:rPr>
          <w:rFonts w:ascii="方正仿宋_GBK" w:eastAsia="方正仿宋_GBK" w:cs="方正仿宋_GBK" w:hint="eastAsia"/>
          <w:color w:val="000000"/>
          <w:kern w:val="0"/>
          <w:sz w:val="32"/>
          <w:szCs w:val="32"/>
          <w:lang w:val="en-US" w:eastAsia="zh-CN"/>
        </w:rPr>
        <w:t>万元，完成年初预算的</w:t>
      </w:r>
      <w:r>
        <w:rPr>
          <w:rFonts w:cs="Times New Roman" w:hint="eastAsia"/>
          <w:color w:val="000000"/>
          <w:kern w:val="0"/>
          <w:sz w:val="32"/>
          <w:szCs w:val="32"/>
          <w:lang w:val="en-US" w:eastAsia="zh-CN"/>
        </w:rPr>
        <w:t>88.97</w:t>
      </w:r>
      <w:r>
        <w:rPr>
          <w:rFonts w:ascii="Times New Roman" w:eastAsia="宋体" w:cs="Times New Roman" w:hAnsi="Times New Roman"/>
          <w:color w:val="000000"/>
          <w:kern w:val="0"/>
          <w:sz w:val="32"/>
          <w:szCs w:val="32"/>
          <w:lang w:val="en-US" w:eastAsia="zh-CN"/>
        </w:rPr>
        <w:t>%</w:t>
      </w:r>
      <w:r>
        <w:rPr>
          <w:rFonts w:ascii="方正仿宋_GBK" w:eastAsia="方正仿宋_GBK" w:cs="方正仿宋_GBK" w:hint="eastAsia"/>
          <w:color w:val="000000"/>
          <w:kern w:val="0"/>
          <w:sz w:val="32"/>
          <w:szCs w:val="32"/>
          <w:lang w:val="en-US" w:eastAsia="zh-CN"/>
        </w:rPr>
        <w:t xml:space="preserve">。 </w:t>
      </w:r>
    </w:p>
    <w:p>
      <w:pPr>
        <w:keepNext w:val="0"/>
        <w:keepLines w:val="0"/>
        <w:widowControl/>
        <w:suppressLineNumbers w:val="0"/>
        <w:ind w:firstLineChars="200" w:firstLine="640"/>
        <w:jc w:val="left"/>
      </w:pPr>
      <w:r>
        <w:rPr>
          <w:rFonts w:cs="Times New Roman" w:hint="eastAsia"/>
          <w:color w:val="000000"/>
          <w:kern w:val="0"/>
          <w:sz w:val="32"/>
          <w:szCs w:val="32"/>
          <w:lang w:val="en-US" w:eastAsia="zh-CN"/>
        </w:rPr>
        <w:t>7</w:t>
      </w:r>
      <w:r>
        <w:rPr>
          <w:rFonts w:ascii="方正仿宋_GBK" w:eastAsia="方正仿宋_GBK" w:cs="方正仿宋_GBK" w:hint="eastAsia"/>
          <w:color w:val="000000"/>
          <w:kern w:val="0"/>
          <w:sz w:val="32"/>
          <w:szCs w:val="32"/>
          <w:lang w:val="en-US" w:eastAsia="zh-CN"/>
        </w:rPr>
        <w:t>．社会保障和就业支出（类）行政事业单位养老支出（款）机关事业单位职业年金缴费支出（项）年初预算为</w:t>
      </w:r>
      <w:r>
        <w:rPr>
          <w:rFonts w:cs="Times New Roman" w:hint="eastAsia"/>
          <w:color w:val="000000"/>
          <w:kern w:val="0"/>
          <w:sz w:val="32"/>
          <w:szCs w:val="32"/>
          <w:lang w:val="en-US" w:eastAsia="zh-CN"/>
        </w:rPr>
        <w:t>20.54</w:t>
      </w:r>
      <w:r>
        <w:rPr>
          <w:rFonts w:ascii="方正仿宋_GBK" w:eastAsia="方正仿宋_GBK" w:cs="方正仿宋_GBK" w:hint="eastAsia"/>
          <w:color w:val="000000"/>
          <w:kern w:val="0"/>
          <w:sz w:val="32"/>
          <w:szCs w:val="32"/>
          <w:lang w:val="en-US" w:eastAsia="zh-CN"/>
        </w:rPr>
        <w:t>万元，支出决算为</w:t>
      </w:r>
      <w:r>
        <w:rPr>
          <w:rFonts w:cs="Times New Roman" w:hint="eastAsia"/>
          <w:color w:val="000000"/>
          <w:kern w:val="0"/>
          <w:sz w:val="32"/>
          <w:szCs w:val="32"/>
          <w:lang w:val="en-US" w:eastAsia="zh-CN"/>
        </w:rPr>
        <w:t>19.59</w:t>
      </w:r>
      <w:r>
        <w:rPr>
          <w:rFonts w:ascii="方正仿宋_GBK" w:eastAsia="方正仿宋_GBK" w:cs="方正仿宋_GBK" w:hint="eastAsia"/>
          <w:color w:val="000000"/>
          <w:kern w:val="0"/>
          <w:sz w:val="32"/>
          <w:szCs w:val="32"/>
          <w:lang w:val="en-US" w:eastAsia="zh-CN"/>
        </w:rPr>
        <w:t>万元，完成年初预算的</w:t>
      </w:r>
      <w:r>
        <w:rPr>
          <w:rFonts w:cs="Times New Roman" w:hint="eastAsia"/>
          <w:color w:val="000000"/>
          <w:kern w:val="0"/>
          <w:sz w:val="32"/>
          <w:szCs w:val="32"/>
          <w:lang w:val="en-US" w:eastAsia="zh-CN"/>
        </w:rPr>
        <w:t>95.37</w:t>
      </w:r>
      <w:r>
        <w:rPr>
          <w:rFonts w:ascii="Times New Roman" w:eastAsia="宋体" w:cs="Times New Roman" w:hAnsi="Times New Roman"/>
          <w:color w:val="000000"/>
          <w:kern w:val="0"/>
          <w:sz w:val="32"/>
          <w:szCs w:val="32"/>
          <w:lang w:val="en-US" w:eastAsia="zh-CN"/>
        </w:rPr>
        <w:t>%</w:t>
      </w:r>
      <w:r>
        <w:rPr>
          <w:rFonts w:ascii="方正仿宋_GBK" w:eastAsia="方正仿宋_GBK" w:cs="方正仿宋_GBK" w:hint="eastAsia"/>
          <w:color w:val="000000"/>
          <w:kern w:val="0"/>
          <w:sz w:val="32"/>
          <w:szCs w:val="32"/>
          <w:lang w:val="en-US" w:eastAsia="zh-CN"/>
        </w:rPr>
        <w:t xml:space="preserve">。 </w:t>
      </w:r>
    </w:p>
    <w:p>
      <w:pPr>
        <w:keepNext w:val="0"/>
        <w:keepLines w:val="0"/>
        <w:widowControl/>
        <w:suppressLineNumbers w:val="0"/>
        <w:ind w:firstLineChars="200" w:firstLine="640"/>
        <w:jc w:val="left"/>
      </w:pPr>
      <w:r>
        <w:rPr>
          <w:rFonts w:ascii="Times New Roman" w:eastAsia="宋体" w:cs="Times New Roman" w:hAnsi="Times New Roman"/>
          <w:color w:val="000000"/>
          <w:kern w:val="0"/>
          <w:sz w:val="32"/>
          <w:szCs w:val="32"/>
          <w:lang w:val="en-US" w:eastAsia="zh-CN"/>
        </w:rPr>
        <w:t>8</w:t>
      </w:r>
      <w:r>
        <w:rPr>
          <w:rFonts w:ascii="方正仿宋_GBK" w:eastAsia="方正仿宋_GBK" w:cs="方正仿宋_GBK" w:hint="eastAsia"/>
          <w:color w:val="000000"/>
          <w:kern w:val="0"/>
          <w:sz w:val="32"/>
          <w:szCs w:val="32"/>
          <w:lang w:val="en-US" w:eastAsia="zh-CN"/>
        </w:rPr>
        <w:t>．卫生健康支出（类）行政事业单位医疗（款）行政单位医疗（项）年初预算为</w:t>
      </w:r>
      <w:r>
        <w:rPr>
          <w:rFonts w:cs="Times New Roman" w:hint="eastAsia"/>
          <w:color w:val="000000"/>
          <w:kern w:val="0"/>
          <w:sz w:val="32"/>
          <w:szCs w:val="32"/>
          <w:lang w:val="en-US" w:eastAsia="zh-CN"/>
        </w:rPr>
        <w:t>25.12</w:t>
      </w:r>
      <w:r>
        <w:rPr>
          <w:rFonts w:ascii="方正仿宋_GBK" w:eastAsia="方正仿宋_GBK" w:cs="方正仿宋_GBK" w:hint="eastAsia"/>
          <w:color w:val="000000"/>
          <w:kern w:val="0"/>
          <w:sz w:val="32"/>
          <w:szCs w:val="32"/>
          <w:lang w:val="en-US" w:eastAsia="zh-CN"/>
        </w:rPr>
        <w:t>万元，支出决算为</w:t>
      </w:r>
      <w:r>
        <w:rPr>
          <w:rFonts w:cs="Times New Roman" w:hint="eastAsia"/>
          <w:color w:val="000000"/>
          <w:kern w:val="0"/>
          <w:sz w:val="32"/>
          <w:szCs w:val="32"/>
          <w:lang w:val="en-US" w:eastAsia="zh-CN"/>
        </w:rPr>
        <w:t>24.01</w:t>
      </w:r>
      <w:r>
        <w:rPr>
          <w:rFonts w:ascii="方正仿宋_GBK" w:eastAsia="方正仿宋_GBK" w:cs="方正仿宋_GBK" w:hint="eastAsia"/>
          <w:color w:val="000000"/>
          <w:kern w:val="0"/>
          <w:sz w:val="32"/>
          <w:szCs w:val="32"/>
          <w:lang w:val="en-US" w:eastAsia="zh-CN"/>
        </w:rPr>
        <w:t>万元，完成年初预算的</w:t>
      </w:r>
      <w:r>
        <w:rPr>
          <w:rFonts w:cs="Times New Roman" w:hint="eastAsia"/>
          <w:color w:val="000000"/>
          <w:kern w:val="0"/>
          <w:sz w:val="32"/>
          <w:szCs w:val="32"/>
          <w:lang w:val="en-US" w:eastAsia="zh-CN"/>
        </w:rPr>
        <w:t>95.58</w:t>
      </w:r>
      <w:r>
        <w:rPr>
          <w:rFonts w:ascii="Times New Roman" w:eastAsia="宋体" w:cs="Times New Roman" w:hAnsi="Times New Roman"/>
          <w:color w:val="000000"/>
          <w:kern w:val="0"/>
          <w:sz w:val="32"/>
          <w:szCs w:val="32"/>
          <w:lang w:val="en-US" w:eastAsia="zh-CN"/>
        </w:rPr>
        <w:t>%</w:t>
      </w:r>
      <w:r>
        <w:rPr>
          <w:rFonts w:ascii="方正仿宋_GBK" w:eastAsia="方正仿宋_GBK" w:cs="方正仿宋_GBK" w:hint="eastAsia"/>
          <w:color w:val="000000"/>
          <w:kern w:val="0"/>
          <w:sz w:val="32"/>
          <w:szCs w:val="32"/>
          <w:lang w:val="en-US" w:eastAsia="zh-CN"/>
        </w:rPr>
        <w:t xml:space="preserve">。 </w:t>
      </w:r>
    </w:p>
    <w:p>
      <w:pPr>
        <w:keepNext w:val="0"/>
        <w:keepLines w:val="0"/>
        <w:widowControl/>
        <w:suppressLineNumbers w:val="0"/>
        <w:ind w:firstLineChars="200" w:firstLine="640"/>
        <w:jc w:val="left"/>
      </w:pPr>
      <w:r>
        <w:rPr>
          <w:rFonts w:cs="Times New Roman" w:hint="eastAsia"/>
          <w:color w:val="000000"/>
          <w:kern w:val="0"/>
          <w:sz w:val="32"/>
          <w:szCs w:val="32"/>
          <w:lang w:val="en-US" w:eastAsia="zh-CN"/>
        </w:rPr>
        <w:t>9</w:t>
      </w:r>
      <w:r>
        <w:rPr>
          <w:rFonts w:ascii="方正仿宋_GBK" w:eastAsia="方正仿宋_GBK" w:cs="方正仿宋_GBK" w:hint="eastAsia"/>
          <w:color w:val="000000"/>
          <w:kern w:val="0"/>
          <w:sz w:val="32"/>
          <w:szCs w:val="32"/>
          <w:lang w:val="en-US" w:eastAsia="zh-CN"/>
        </w:rPr>
        <w:t>．卫生健康支出（类）行政事业单位医疗（款）公务员医疗补助（项）年初预算为</w:t>
      </w:r>
      <w:r>
        <w:rPr>
          <w:rFonts w:cs="Times New Roman" w:hint="eastAsia"/>
          <w:color w:val="000000"/>
          <w:kern w:val="0"/>
          <w:sz w:val="32"/>
          <w:szCs w:val="32"/>
          <w:lang w:val="en-US" w:eastAsia="zh-CN"/>
        </w:rPr>
        <w:t>11</w:t>
      </w:r>
      <w:r>
        <w:rPr>
          <w:rFonts w:ascii="方正仿宋_GBK" w:eastAsia="方正仿宋_GBK" w:cs="方正仿宋_GBK" w:hint="eastAsia"/>
          <w:color w:val="000000"/>
          <w:kern w:val="0"/>
          <w:sz w:val="32"/>
          <w:szCs w:val="32"/>
          <w:lang w:val="en-US" w:eastAsia="zh-CN"/>
        </w:rPr>
        <w:t>万元，支出决算为</w:t>
      </w:r>
      <w:r>
        <w:rPr>
          <w:rFonts w:cs="Times New Roman" w:hint="eastAsia"/>
          <w:color w:val="000000"/>
          <w:kern w:val="0"/>
          <w:sz w:val="32"/>
          <w:szCs w:val="32"/>
          <w:lang w:val="en-US" w:eastAsia="zh-CN"/>
        </w:rPr>
        <w:t>9.39</w:t>
      </w:r>
      <w:r>
        <w:rPr>
          <w:rFonts w:ascii="方正仿宋_GBK" w:eastAsia="方正仿宋_GBK" w:cs="方正仿宋_GBK" w:hint="eastAsia"/>
          <w:color w:val="000000"/>
          <w:kern w:val="0"/>
          <w:sz w:val="32"/>
          <w:szCs w:val="32"/>
          <w:lang w:val="en-US" w:eastAsia="zh-CN"/>
        </w:rPr>
        <w:t>万元，完成年初预算的</w:t>
      </w:r>
      <w:r>
        <w:rPr>
          <w:rFonts w:cs="Times New Roman" w:hint="eastAsia"/>
          <w:color w:val="000000"/>
          <w:kern w:val="0"/>
          <w:sz w:val="32"/>
          <w:szCs w:val="32"/>
          <w:lang w:val="en-US" w:eastAsia="zh-CN"/>
        </w:rPr>
        <w:t>85.36</w:t>
      </w:r>
      <w:r>
        <w:rPr>
          <w:rFonts w:ascii="Times New Roman" w:eastAsia="宋体" w:cs="Times New Roman" w:hAnsi="Times New Roman"/>
          <w:color w:val="000000"/>
          <w:kern w:val="0"/>
          <w:sz w:val="32"/>
          <w:szCs w:val="32"/>
          <w:lang w:val="en-US" w:eastAsia="zh-CN"/>
        </w:rPr>
        <w:t>%</w:t>
      </w:r>
      <w:r>
        <w:rPr>
          <w:rFonts w:ascii="方正仿宋_GBK" w:eastAsia="方正仿宋_GBK" w:cs="方正仿宋_GBK" w:hint="eastAsia"/>
          <w:color w:val="000000"/>
          <w:kern w:val="0"/>
          <w:sz w:val="32"/>
          <w:szCs w:val="32"/>
          <w:lang w:val="en-US" w:eastAsia="zh-CN"/>
        </w:rPr>
        <w:t xml:space="preserve">。 </w:t>
      </w:r>
    </w:p>
    <w:p>
      <w:pPr>
        <w:keepNext w:val="0"/>
        <w:keepLines w:val="0"/>
        <w:widowControl/>
        <w:suppressLineNumbers w:val="0"/>
        <w:ind w:firstLineChars="200" w:firstLine="640"/>
        <w:jc w:val="left"/>
      </w:pPr>
      <w:r>
        <w:rPr>
          <w:rFonts w:cs="Times New Roman" w:hint="eastAsia"/>
          <w:color w:val="000000"/>
          <w:kern w:val="0"/>
          <w:sz w:val="32"/>
          <w:szCs w:val="32"/>
          <w:lang w:val="en-US" w:eastAsia="zh-CN"/>
        </w:rPr>
        <w:t>10</w:t>
      </w:r>
      <w:r>
        <w:rPr>
          <w:rFonts w:ascii="方正仿宋_GBK" w:eastAsia="方正仿宋_GBK" w:cs="方正仿宋_GBK" w:hint="eastAsia"/>
          <w:color w:val="000000"/>
          <w:kern w:val="0"/>
          <w:sz w:val="32"/>
          <w:szCs w:val="32"/>
          <w:lang w:val="en-US" w:eastAsia="zh-CN"/>
        </w:rPr>
        <w:t>．卫生健康支出（类）行政事业单位医疗（款）其他行政事业单位医疗支出（项）年初预算为</w:t>
      </w:r>
      <w:r>
        <w:rPr>
          <w:rFonts w:cs="Times New Roman" w:hint="eastAsia"/>
          <w:color w:val="000000"/>
          <w:kern w:val="0"/>
          <w:sz w:val="32"/>
          <w:szCs w:val="32"/>
          <w:lang w:val="en-US" w:eastAsia="zh-CN"/>
        </w:rPr>
        <w:t>0.49</w:t>
      </w:r>
      <w:r>
        <w:rPr>
          <w:rFonts w:ascii="方正仿宋_GBK" w:eastAsia="方正仿宋_GBK" w:cs="方正仿宋_GBK" w:hint="eastAsia"/>
          <w:color w:val="000000"/>
          <w:kern w:val="0"/>
          <w:sz w:val="32"/>
          <w:szCs w:val="32"/>
          <w:lang w:val="en-US" w:eastAsia="zh-CN"/>
        </w:rPr>
        <w:t>万元，支出决算为</w:t>
      </w:r>
      <w:r>
        <w:rPr>
          <w:rFonts w:cs="Times New Roman" w:hint="eastAsia"/>
          <w:color w:val="000000"/>
          <w:kern w:val="0"/>
          <w:sz w:val="32"/>
          <w:szCs w:val="32"/>
          <w:lang w:val="en-US" w:eastAsia="zh-CN"/>
        </w:rPr>
        <w:t>0.47</w:t>
      </w:r>
      <w:r>
        <w:rPr>
          <w:rFonts w:ascii="方正仿宋_GBK" w:eastAsia="方正仿宋_GBK" w:cs="方正仿宋_GBK" w:hint="eastAsia"/>
          <w:color w:val="000000"/>
          <w:kern w:val="0"/>
          <w:sz w:val="32"/>
          <w:szCs w:val="32"/>
          <w:lang w:val="en-US" w:eastAsia="zh-CN"/>
        </w:rPr>
        <w:t>万元，完成年初预算的</w:t>
      </w:r>
      <w:r>
        <w:rPr>
          <w:rFonts w:cs="Times New Roman" w:hint="eastAsia"/>
          <w:color w:val="000000"/>
          <w:kern w:val="0"/>
          <w:sz w:val="32"/>
          <w:szCs w:val="32"/>
          <w:lang w:val="en-US" w:eastAsia="zh-CN"/>
        </w:rPr>
        <w:t>95.92</w:t>
      </w:r>
      <w:r>
        <w:rPr>
          <w:rFonts w:ascii="Times New Roman" w:eastAsia="宋体" w:cs="Times New Roman" w:hAnsi="Times New Roman"/>
          <w:color w:val="000000"/>
          <w:kern w:val="0"/>
          <w:sz w:val="32"/>
          <w:szCs w:val="32"/>
          <w:lang w:val="en-US" w:eastAsia="zh-CN"/>
        </w:rPr>
        <w:t>%</w:t>
      </w:r>
      <w:r>
        <w:rPr>
          <w:rFonts w:ascii="方正仿宋_GBK" w:eastAsia="方正仿宋_GBK" w:cs="方正仿宋_GBK" w:hint="eastAsia"/>
          <w:color w:val="000000"/>
          <w:kern w:val="0"/>
          <w:sz w:val="32"/>
          <w:szCs w:val="32"/>
          <w:lang w:val="en-US" w:eastAsia="zh-CN"/>
        </w:rPr>
        <w:t xml:space="preserve">。 </w:t>
      </w:r>
    </w:p>
    <w:p>
      <w:pPr>
        <w:keepNext w:val="0"/>
        <w:keepLines w:val="0"/>
        <w:widowControl/>
        <w:suppressLineNumbers w:val="0"/>
        <w:ind w:firstLineChars="200" w:firstLine="640"/>
        <w:jc w:val="left"/>
      </w:pPr>
      <w:r>
        <w:rPr>
          <w:rFonts w:cs="Times New Roman" w:hint="eastAsia"/>
          <w:color w:val="000000"/>
          <w:kern w:val="0"/>
          <w:sz w:val="32"/>
          <w:szCs w:val="32"/>
          <w:lang w:val="en-US" w:eastAsia="zh-CN"/>
        </w:rPr>
        <w:t>11</w:t>
      </w:r>
      <w:r>
        <w:rPr>
          <w:rFonts w:ascii="方正仿宋_GBK" w:eastAsia="方正仿宋_GBK" w:cs="方正仿宋_GBK" w:hint="eastAsia"/>
          <w:color w:val="000000"/>
          <w:kern w:val="0"/>
          <w:sz w:val="32"/>
          <w:szCs w:val="32"/>
          <w:lang w:val="en-US" w:eastAsia="zh-CN"/>
        </w:rPr>
        <w:t>．住房保障支出（类）住房改革支出（款）住房公积金（项）年初预算为</w:t>
      </w:r>
      <w:r>
        <w:rPr>
          <w:rFonts w:cs="Times New Roman" w:hint="eastAsia"/>
          <w:color w:val="000000"/>
          <w:kern w:val="0"/>
          <w:sz w:val="32"/>
          <w:szCs w:val="32"/>
          <w:lang w:val="en-US" w:eastAsia="zh-CN"/>
        </w:rPr>
        <w:t>42</w:t>
      </w:r>
      <w:r>
        <w:rPr>
          <w:rFonts w:ascii="方正仿宋_GBK" w:eastAsia="方正仿宋_GBK" w:cs="方正仿宋_GBK" w:hint="eastAsia"/>
          <w:color w:val="000000"/>
          <w:kern w:val="0"/>
          <w:sz w:val="32"/>
          <w:szCs w:val="32"/>
          <w:lang w:val="en-US" w:eastAsia="zh-CN"/>
        </w:rPr>
        <w:t>万元，支出决算为</w:t>
      </w:r>
      <w:r>
        <w:rPr>
          <w:rFonts w:cs="Times New Roman" w:hint="eastAsia"/>
          <w:color w:val="000000"/>
          <w:kern w:val="0"/>
          <w:sz w:val="32"/>
          <w:szCs w:val="32"/>
          <w:lang w:val="en-US" w:eastAsia="zh-CN"/>
        </w:rPr>
        <w:t>43.31</w:t>
      </w:r>
      <w:r>
        <w:rPr>
          <w:rFonts w:ascii="方正仿宋_GBK" w:eastAsia="方正仿宋_GBK" w:cs="方正仿宋_GBK" w:hint="eastAsia"/>
          <w:color w:val="000000"/>
          <w:kern w:val="0"/>
          <w:sz w:val="32"/>
          <w:szCs w:val="32"/>
          <w:lang w:val="en-US" w:eastAsia="zh-CN"/>
        </w:rPr>
        <w:t>万元，全年支出超年初预算原因为年中有追加调整预算。</w:t>
      </w:r>
    </w:p>
    <w:p>
      <w:pPr>
        <w:keepNext w:val="0"/>
        <w:keepLines w:val="0"/>
        <w:widowControl/>
        <w:suppressLineNumbers w:val="0"/>
        <w:ind w:firstLineChars="200" w:firstLine="640"/>
        <w:jc w:val="left"/>
      </w:pPr>
      <w:r>
        <w:rPr>
          <w:rFonts w:cs="Times New Roman" w:hint="eastAsia"/>
          <w:color w:val="000000"/>
          <w:kern w:val="0"/>
          <w:sz w:val="32"/>
          <w:szCs w:val="32"/>
          <w:lang w:val="en-US" w:eastAsia="zh-CN"/>
        </w:rPr>
        <w:t>12</w:t>
      </w:r>
      <w:r>
        <w:rPr>
          <w:rFonts w:ascii="方正仿宋_GBK" w:eastAsia="方正仿宋_GBK" w:cs="方正仿宋_GBK" w:hint="eastAsia"/>
          <w:color w:val="000000"/>
          <w:kern w:val="0"/>
          <w:sz w:val="32"/>
          <w:szCs w:val="32"/>
          <w:lang w:val="en-US" w:eastAsia="zh-CN"/>
        </w:rPr>
        <w:t>．住房保障支出（类）住房改革支出（款）购房补贴（项）年初预算为</w:t>
      </w:r>
      <w:r>
        <w:rPr>
          <w:rFonts w:cs="Times New Roman" w:hint="eastAsia"/>
          <w:color w:val="000000"/>
          <w:kern w:val="0"/>
          <w:sz w:val="32"/>
          <w:szCs w:val="32"/>
          <w:lang w:val="en-US" w:eastAsia="zh-CN"/>
        </w:rPr>
        <w:t>35.1</w:t>
      </w:r>
      <w:r>
        <w:rPr>
          <w:rFonts w:ascii="方正仿宋_GBK" w:eastAsia="方正仿宋_GBK" w:cs="方正仿宋_GBK" w:hint="eastAsia"/>
          <w:color w:val="000000"/>
          <w:kern w:val="0"/>
          <w:sz w:val="32"/>
          <w:szCs w:val="32"/>
          <w:lang w:val="en-US" w:eastAsia="zh-CN"/>
        </w:rPr>
        <w:t>万元，支出决算为</w:t>
      </w:r>
      <w:r>
        <w:rPr>
          <w:rFonts w:cs="Times New Roman" w:hint="eastAsia"/>
          <w:color w:val="000000"/>
          <w:kern w:val="0"/>
          <w:sz w:val="32"/>
          <w:szCs w:val="32"/>
          <w:lang w:val="en-US" w:eastAsia="zh-CN"/>
        </w:rPr>
        <w:t>34.84</w:t>
      </w:r>
      <w:r>
        <w:rPr>
          <w:rFonts w:ascii="方正仿宋_GBK" w:eastAsia="方正仿宋_GBK" w:cs="方正仿宋_GBK" w:hint="eastAsia"/>
          <w:color w:val="000000"/>
          <w:kern w:val="0"/>
          <w:sz w:val="32"/>
          <w:szCs w:val="32"/>
          <w:lang w:val="en-US" w:eastAsia="zh-CN"/>
        </w:rPr>
        <w:t>万元，完成年初预算的</w:t>
      </w:r>
      <w:r>
        <w:rPr>
          <w:rFonts w:ascii="Times New Roman" w:eastAsia="宋体" w:cs="Times New Roman" w:hAnsi="Times New Roman"/>
          <w:color w:val="000000"/>
          <w:kern w:val="0"/>
          <w:sz w:val="32"/>
          <w:szCs w:val="32"/>
          <w:lang w:val="en-US" w:eastAsia="zh-CN"/>
        </w:rPr>
        <w:t>99.</w:t>
      </w:r>
      <w:r>
        <w:rPr>
          <w:rFonts w:cs="Times New Roman" w:hint="eastAsia"/>
          <w:color w:val="000000"/>
          <w:kern w:val="0"/>
          <w:sz w:val="32"/>
          <w:szCs w:val="32"/>
          <w:lang w:val="en-US" w:eastAsia="zh-CN"/>
        </w:rPr>
        <w:t>26</w:t>
      </w:r>
      <w:r>
        <w:rPr>
          <w:rFonts w:ascii="Times New Roman" w:eastAsia="宋体" w:cs="Times New Roman" w:hAnsi="Times New Roman"/>
          <w:color w:val="000000"/>
          <w:kern w:val="0"/>
          <w:sz w:val="32"/>
          <w:szCs w:val="32"/>
          <w:lang w:val="en-US" w:eastAsia="zh-CN"/>
        </w:rPr>
        <w:t>%</w:t>
      </w:r>
      <w:r>
        <w:rPr>
          <w:rFonts w:ascii="方正仿宋_GBK" w:eastAsia="方正仿宋_GBK" w:cs="方正仿宋_GBK" w:hint="eastAsia"/>
          <w:color w:val="000000"/>
          <w:kern w:val="0"/>
          <w:sz w:val="32"/>
          <w:szCs w:val="32"/>
          <w:lang w:val="en-US" w:eastAsia="zh-CN"/>
        </w:rPr>
        <w:t>。</w:t>
      </w:r>
    </w:p>
    <w:p>
      <w:pPr>
        <w:tabs>
          <w:tab w:val="left" w:pos="4157"/>
        </w:tabs>
        <w:autoSpaceDN w:val="0"/>
        <w:spacing w:line="560" w:lineRule="exact"/>
        <w:ind w:firstLineChars="200" w:firstLine="640"/>
        <w:rPr>
          <w:rFonts w:eastAsia="方正楷体_GBK"/>
          <w:b/>
          <w:bCs/>
          <w:sz w:val="32"/>
          <w:szCs w:val="32"/>
        </w:rPr>
      </w:pPr>
      <w:r>
        <w:rPr>
          <w:rFonts w:eastAsia="方正楷体_GBK" w:cs="方正楷体_GBK" w:hint="eastAsia"/>
          <w:b/>
          <w:bCs/>
          <w:sz w:val="32"/>
          <w:szCs w:val="32"/>
          <w:lang w:eastAsia="zh-CN"/>
        </w:rPr>
        <w:t>六、</w:t>
      </w:r>
      <w:r>
        <w:rPr>
          <w:rFonts w:eastAsia="方正楷体_GBK" w:cs="方正楷体_GBK" w:hint="eastAsia"/>
          <w:b/>
          <w:bCs/>
          <w:sz w:val="32"/>
          <w:szCs w:val="32"/>
        </w:rPr>
        <w:t>一般公共预算财政拨款</w:t>
      </w:r>
      <w:r>
        <w:rPr>
          <w:rFonts w:eastAsia="方正楷体_GBK" w:cs="方正楷体_GBK" w:hint="eastAsia"/>
          <w:b/>
          <w:bCs/>
          <w:sz w:val="32"/>
          <w:szCs w:val="32"/>
          <w:lang w:eastAsia="zh-CN"/>
        </w:rPr>
        <w:t>基本</w:t>
      </w:r>
      <w:r>
        <w:rPr>
          <w:rFonts w:eastAsia="方正楷体_GBK" w:cs="方正楷体_GBK" w:hint="eastAsia"/>
          <w:b/>
          <w:bCs/>
          <w:sz w:val="32"/>
          <w:szCs w:val="32"/>
        </w:rPr>
        <w:t>支出决算情况说明</w:t>
      </w:r>
    </w:p>
    <w:p>
      <w:pPr>
        <w:tabs>
          <w:tab w:val="left" w:pos="4157"/>
        </w:tabs>
        <w:autoSpaceDN w:val="0"/>
        <w:spacing w:line="560" w:lineRule="exact"/>
        <w:ind w:firstLineChars="200" w:firstLine="640"/>
        <w:rPr>
          <w:rFonts w:eastAsia="方正仿宋_GBK" w:cs="方正仿宋_GBK" w:hint="eastAsia"/>
          <w:kern w:val="0"/>
          <w:sz w:val="32"/>
          <w:szCs w:val="32"/>
        </w:rPr>
      </w:pPr>
      <w:r>
        <w:rPr>
          <w:rFonts w:eastAsia="方正仿宋_GBK"/>
          <w:kern w:val="0"/>
          <w:sz w:val="32"/>
          <w:szCs w:val="32"/>
        </w:rPr>
        <w:t>202</w:t>
      </w:r>
      <w:r>
        <w:rPr>
          <w:rFonts w:eastAsia="方正仿宋_GBK" w:hint="eastAsia"/>
          <w:kern w:val="0"/>
          <w:sz w:val="32"/>
          <w:szCs w:val="32"/>
          <w:lang w:val="en-US" w:eastAsia="zh-CN"/>
        </w:rPr>
        <w:t>5</w:t>
      </w:r>
      <w:r>
        <w:rPr>
          <w:rFonts w:eastAsia="方正仿宋_GBK" w:cs="方正仿宋_GBK" w:hint="eastAsia"/>
          <w:kern w:val="0"/>
          <w:sz w:val="32"/>
          <w:szCs w:val="32"/>
        </w:rPr>
        <w:t>年度财政拨款基本支出</w:t>
      </w:r>
      <w:r>
        <w:rPr>
          <w:rFonts w:eastAsia="方正仿宋_GBK" w:hint="eastAsia"/>
          <w:kern w:val="0"/>
          <w:sz w:val="32"/>
          <w:szCs w:val="32"/>
          <w:lang w:val="en-US" w:eastAsia="zh-CN"/>
        </w:rPr>
        <w:t>690.39</w:t>
      </w:r>
      <w:r>
        <w:rPr>
          <w:rFonts w:eastAsia="方正仿宋_GBK" w:cs="方正仿宋_GBK" w:hint="eastAsia"/>
          <w:kern w:val="0"/>
          <w:sz w:val="32"/>
          <w:szCs w:val="32"/>
        </w:rPr>
        <w:t>万元，其中：人员经费</w:t>
      </w:r>
      <w:r>
        <w:rPr>
          <w:rFonts w:eastAsia="方正仿宋_GBK" w:hint="eastAsia"/>
          <w:kern w:val="0"/>
          <w:sz w:val="32"/>
          <w:szCs w:val="32"/>
          <w:lang w:val="en-US" w:eastAsia="zh-CN"/>
        </w:rPr>
        <w:t>499.99</w:t>
      </w:r>
      <w:r>
        <w:rPr>
          <w:rFonts w:eastAsia="方正仿宋_GBK" w:cs="方正仿宋_GBK" w:hint="eastAsia"/>
          <w:kern w:val="0"/>
          <w:sz w:val="32"/>
          <w:szCs w:val="32"/>
        </w:rPr>
        <w:t>万元，主要包括基本工资、津贴补贴、奖金、机关事业单位基本养老保险缴费、职业年金缴费、职工基本医疗保险缴费、公务员医疗补助缴费、其他社会保障缴费、住房公积金、其他工资福利支出、退休费、奖励金；公用经费</w:t>
      </w:r>
      <w:r>
        <w:rPr>
          <w:rFonts w:eastAsia="方正仿宋_GBK" w:hint="eastAsia"/>
          <w:kern w:val="0"/>
          <w:sz w:val="32"/>
          <w:szCs w:val="32"/>
          <w:lang w:val="en-US" w:eastAsia="zh-CN"/>
        </w:rPr>
        <w:t>190.40</w:t>
      </w:r>
      <w:r>
        <w:rPr>
          <w:rFonts w:eastAsia="方正仿宋_GBK" w:cs="方正仿宋_GBK" w:hint="eastAsia"/>
          <w:kern w:val="0"/>
          <w:sz w:val="32"/>
          <w:szCs w:val="32"/>
        </w:rPr>
        <w:t>万元，主要包括办公费、印刷费、咨询费、手续费、水费、电费、邮电费、取暖费、物业管理费、差旅费、维修（护）费、租赁费、会议费、培训费、专用材料费、劳务费、委托业务费、工会经费、福利费、公务用车运行维护费、其他交通费用、其他商品和服务支出、资本性支出、办公设备购置、专用设备购置。</w:t>
      </w:r>
    </w:p>
    <w:p>
      <w:pPr>
        <w:tabs>
          <w:tab w:val="left" w:pos="4157"/>
        </w:tabs>
        <w:autoSpaceDN w:val="0"/>
        <w:spacing w:line="560" w:lineRule="exact"/>
        <w:ind w:left="630"/>
        <w:rPr>
          <w:rFonts w:eastAsia="方正楷体_GBK" w:cs="方正楷体_GBK" w:hint="eastAsia"/>
          <w:b/>
          <w:bCs/>
          <w:sz w:val="32"/>
          <w:szCs w:val="32"/>
          <w:lang w:eastAsia="zh-CN"/>
        </w:rPr>
      </w:pPr>
      <w:r>
        <w:rPr>
          <w:rFonts w:eastAsia="方正楷体_GBK" w:cs="方正楷体_GBK" w:hint="eastAsia"/>
          <w:b/>
          <w:bCs/>
          <w:sz w:val="32"/>
          <w:szCs w:val="32"/>
          <w:lang w:eastAsia="zh-CN"/>
        </w:rPr>
        <w:t>七、政府性基金预算财政拨款支出决算情况说明</w:t>
      </w:r>
    </w:p>
    <w:p>
      <w:pPr>
        <w:tabs>
          <w:tab w:val="left" w:pos="4157"/>
        </w:tabs>
        <w:autoSpaceDN w:val="0"/>
        <w:spacing w:line="560" w:lineRule="exact"/>
        <w:ind w:firstLineChars="200" w:firstLine="640"/>
        <w:rPr>
          <w:rFonts w:eastAsia="方正仿宋_GBK" w:cs="方正仿宋_GBK" w:hint="eastAsia"/>
          <w:kern w:val="0"/>
          <w:sz w:val="32"/>
          <w:szCs w:val="32"/>
          <w:lang w:val="en-US" w:eastAsia="zh-CN"/>
        </w:rPr>
      </w:pPr>
      <w:r>
        <w:rPr>
          <w:rFonts w:eastAsia="方正仿宋_GBK" w:cs="方正仿宋_GBK" w:hint="eastAsia"/>
          <w:kern w:val="0"/>
          <w:sz w:val="32"/>
          <w:szCs w:val="32"/>
          <w:lang w:val="en-US" w:eastAsia="zh-CN"/>
        </w:rPr>
        <w:t>2025年度</w:t>
      </w:r>
      <w:r>
        <w:rPr>
          <w:rFonts w:eastAsia="方正仿宋_GBK"/>
          <w:sz w:val="32"/>
          <w:szCs w:val="32"/>
          <w:lang w:eastAsia="zh-CN"/>
        </w:rPr>
        <w:t>额布都格海关</w:t>
      </w:r>
      <w:r>
        <w:rPr>
          <w:rFonts w:eastAsia="方正仿宋_GBK" w:cs="方正仿宋_GBK" w:hint="eastAsia"/>
          <w:kern w:val="0"/>
          <w:sz w:val="32"/>
          <w:szCs w:val="32"/>
          <w:lang w:val="en-US" w:eastAsia="zh-CN"/>
        </w:rPr>
        <w:t>无政府性基金预算财政拨款收支。</w:t>
      </w:r>
    </w:p>
    <w:p>
      <w:pPr>
        <w:pStyle w:val="15"/>
        <w:rPr>
          <w:rFonts w:eastAsia="方正楷体_GBK"/>
          <w:b/>
          <w:bCs/>
          <w:sz w:val="32"/>
          <w:szCs w:val="32"/>
        </w:rPr>
      </w:pPr>
      <w:r>
        <w:rPr>
          <w:rFonts w:cs="方正仿宋_GBK" w:hint="eastAsia"/>
          <w:kern w:val="0"/>
          <w:sz w:val="32"/>
          <w:szCs w:val="32"/>
          <w:lang w:val="en-US" w:eastAsia="zh-CN"/>
        </w:rPr>
        <w:t xml:space="preserve"> </w:t>
      </w:r>
      <w:r>
        <w:rPr>
          <w:rFonts w:ascii="Times New Roman" w:eastAsia="方正楷体_GBK" w:cs="方正楷体_GBK" w:hAnsi="Times New Roman" w:hint="eastAsia"/>
          <w:b/>
          <w:bCs/>
          <w:kern w:val="2"/>
          <w:sz w:val="32"/>
          <w:szCs w:val="32"/>
          <w:lang w:val="en-US" w:eastAsia="zh-CN" w:bidi="ar-SA"/>
        </w:rPr>
        <w:t xml:space="preserve">   八、一</w:t>
      </w:r>
      <w:r>
        <w:rPr>
          <w:rFonts w:eastAsia="方正楷体_GBK" w:cs="方正楷体_GBK" w:hint="eastAsia"/>
          <w:b/>
          <w:bCs/>
          <w:sz w:val="32"/>
          <w:szCs w:val="32"/>
        </w:rPr>
        <w:t>般公共预算财政拨款</w:t>
      </w:r>
      <w:r>
        <w:rPr>
          <w:rFonts w:eastAsia="方正楷体_GBK"/>
          <w:b/>
          <w:bCs/>
          <w:sz w:val="32"/>
          <w:szCs w:val="32"/>
        </w:rPr>
        <w:t>“</w:t>
      </w:r>
      <w:r>
        <w:rPr>
          <w:rFonts w:eastAsia="方正楷体_GBK" w:cs="方正楷体_GBK" w:hint="eastAsia"/>
          <w:b/>
          <w:bCs/>
          <w:sz w:val="32"/>
          <w:szCs w:val="32"/>
        </w:rPr>
        <w:t>三公</w:t>
      </w:r>
      <w:r>
        <w:rPr>
          <w:rFonts w:eastAsia="方正楷体_GBK"/>
          <w:b/>
          <w:bCs/>
          <w:sz w:val="32"/>
          <w:szCs w:val="32"/>
        </w:rPr>
        <w:t>”</w:t>
      </w:r>
      <w:r>
        <w:rPr>
          <w:rFonts w:eastAsia="方正楷体_GBK" w:cs="方正楷体_GBK" w:hint="eastAsia"/>
          <w:b/>
          <w:bCs/>
          <w:sz w:val="32"/>
          <w:szCs w:val="32"/>
        </w:rPr>
        <w:t>经费支出决算情况说明</w:t>
      </w:r>
    </w:p>
    <w:p>
      <w:pPr>
        <w:autoSpaceDN w:val="0"/>
        <w:spacing w:line="560" w:lineRule="exact"/>
        <w:ind w:firstLineChars="200" w:firstLine="640"/>
        <w:rPr>
          <w:rFonts w:eastAsia="方正仿宋_GBK"/>
          <w:b/>
          <w:bCs/>
          <w:kern w:val="0"/>
          <w:sz w:val="32"/>
          <w:szCs w:val="32"/>
        </w:rPr>
      </w:pPr>
      <w:r>
        <w:rPr>
          <w:rFonts w:eastAsia="方正仿宋_GBK" w:hint="eastAsia"/>
          <w:b/>
          <w:bCs/>
          <w:kern w:val="0"/>
          <w:sz w:val="32"/>
          <w:szCs w:val="32"/>
          <w:lang w:eastAsia="zh-CN"/>
        </w:rPr>
        <w:t>（一）</w:t>
      </w:r>
      <w:r>
        <w:rPr>
          <w:rFonts w:eastAsia="方正楷体_GBK"/>
          <w:b/>
          <w:bCs/>
          <w:kern w:val="0"/>
          <w:sz w:val="32"/>
          <w:szCs w:val="32"/>
        </w:rPr>
        <w:t>“</w:t>
      </w:r>
      <w:r>
        <w:rPr>
          <w:rFonts w:eastAsia="方正楷体_GBK" w:cs="方正楷体_GBK" w:hint="eastAsia"/>
          <w:b/>
          <w:bCs/>
          <w:kern w:val="0"/>
          <w:sz w:val="32"/>
          <w:szCs w:val="32"/>
        </w:rPr>
        <w:t>三</w:t>
      </w:r>
      <w:r>
        <w:rPr>
          <w:rFonts w:eastAsia="方正仿宋_GBK" w:cs="方正仿宋_GBK" w:hint="eastAsia"/>
          <w:b/>
          <w:bCs/>
          <w:kern w:val="0"/>
          <w:sz w:val="32"/>
          <w:szCs w:val="32"/>
          <w:highlight w:val="auto"/>
        </w:rPr>
        <w:t>公</w:t>
      </w:r>
      <w:r>
        <w:rPr>
          <w:rFonts w:eastAsia="方正仿宋_GBK"/>
          <w:b/>
          <w:bCs/>
          <w:kern w:val="0"/>
          <w:sz w:val="32"/>
          <w:szCs w:val="32"/>
          <w:highlight w:val="auto"/>
        </w:rPr>
        <w:t>”</w:t>
      </w:r>
      <w:r>
        <w:rPr>
          <w:rFonts w:eastAsia="方正仿宋_GBK" w:cs="方正仿宋_GBK" w:hint="eastAsia"/>
          <w:b/>
          <w:bCs/>
          <w:kern w:val="0"/>
          <w:sz w:val="32"/>
          <w:szCs w:val="32"/>
          <w:highlight w:val="auto"/>
        </w:rPr>
        <w:t>经费财政拨款</w:t>
      </w:r>
      <w:r>
        <w:rPr>
          <w:rFonts w:eastAsia="方正仿宋_GBK" w:cs="方正仿宋_GBK" w:hint="eastAsia"/>
          <w:b/>
          <w:bCs/>
          <w:kern w:val="0"/>
          <w:sz w:val="32"/>
          <w:szCs w:val="32"/>
        </w:rPr>
        <w:t>支出决算总体情况说明。</w:t>
      </w:r>
    </w:p>
    <w:p>
      <w:pPr>
        <w:autoSpaceDN w:val="0"/>
        <w:spacing w:line="560" w:lineRule="exact"/>
        <w:ind w:firstLineChars="200" w:firstLine="640"/>
        <w:rPr>
          <w:rFonts w:eastAsia="方正仿宋_GBK"/>
          <w:kern w:val="0"/>
          <w:sz w:val="32"/>
          <w:szCs w:val="32"/>
          <w:lang w:eastAsia="en-US"/>
        </w:rPr>
      </w:pPr>
      <w:r>
        <w:rPr>
          <w:rFonts w:eastAsia="方正仿宋_GBK"/>
          <w:kern w:val="0"/>
          <w:sz w:val="32"/>
          <w:szCs w:val="32"/>
          <w:lang w:eastAsia="en-US"/>
        </w:rPr>
        <w:t>202</w:t>
      </w:r>
      <w:r>
        <w:rPr>
          <w:rFonts w:eastAsia="方正仿宋_GBK" w:hint="eastAsia"/>
          <w:kern w:val="0"/>
          <w:sz w:val="32"/>
          <w:szCs w:val="32"/>
          <w:lang w:val="en-US" w:eastAsia="zh-CN"/>
        </w:rPr>
        <w:t>5</w:t>
      </w:r>
      <w:r>
        <w:rPr>
          <w:rFonts w:eastAsia="方正仿宋_GBK" w:cs="方正仿宋_GBK" w:hint="eastAsia"/>
          <w:kern w:val="0"/>
          <w:sz w:val="32"/>
          <w:szCs w:val="32"/>
          <w:lang w:eastAsia="en-US"/>
        </w:rPr>
        <w:t>年度</w:t>
      </w:r>
      <w:r>
        <w:rPr>
          <w:rFonts w:ascii="方正仿宋_GBK" w:eastAsia="方正仿宋_GBK" w:hint="eastAsia"/>
          <w:kern w:val="0"/>
          <w:sz w:val="32"/>
          <w:szCs w:val="32"/>
          <w:lang w:eastAsia="en-US"/>
        </w:rPr>
        <w:t>“</w:t>
      </w:r>
      <w:r>
        <w:rPr>
          <w:rFonts w:eastAsia="方正仿宋_GBK" w:cs="方正仿宋_GBK" w:hint="eastAsia"/>
          <w:kern w:val="0"/>
          <w:sz w:val="32"/>
          <w:szCs w:val="32"/>
          <w:lang w:eastAsia="en-US"/>
        </w:rPr>
        <w:t>三公</w:t>
      </w:r>
      <w:r>
        <w:rPr>
          <w:rFonts w:ascii="方正仿宋_GBK" w:eastAsia="方正仿宋_GBK" w:hint="eastAsia"/>
          <w:kern w:val="0"/>
          <w:sz w:val="32"/>
          <w:szCs w:val="32"/>
          <w:lang w:eastAsia="en-US"/>
        </w:rPr>
        <w:t>”</w:t>
      </w:r>
      <w:r>
        <w:rPr>
          <w:rFonts w:eastAsia="方正仿宋_GBK" w:cs="方正仿宋_GBK" w:hint="eastAsia"/>
          <w:kern w:val="0"/>
          <w:sz w:val="32"/>
          <w:szCs w:val="32"/>
          <w:lang w:eastAsia="en-US"/>
        </w:rPr>
        <w:t>经费财政拨款支出预算为</w:t>
      </w:r>
      <w:r>
        <w:rPr>
          <w:rFonts w:eastAsia="方正仿宋_GBK" w:hint="eastAsia"/>
          <w:kern w:val="0"/>
          <w:sz w:val="32"/>
          <w:szCs w:val="32"/>
          <w:lang w:val="en-US" w:eastAsia="zh-CN"/>
        </w:rPr>
        <w:t>9.6</w:t>
      </w:r>
      <w:r>
        <w:rPr>
          <w:rFonts w:eastAsia="方正仿宋_GBK" w:cs="方正仿宋_GBK" w:hint="eastAsia"/>
          <w:kern w:val="0"/>
          <w:sz w:val="32"/>
          <w:szCs w:val="32"/>
          <w:lang w:eastAsia="en-US"/>
        </w:rPr>
        <w:t>万元，支出决算为</w:t>
      </w:r>
      <w:r>
        <w:rPr>
          <w:rFonts w:eastAsia="方正仿宋_GBK" w:hint="eastAsia"/>
          <w:kern w:val="0"/>
          <w:sz w:val="32"/>
          <w:szCs w:val="32"/>
          <w:lang w:val="en-US" w:eastAsia="zh-CN"/>
        </w:rPr>
        <w:t>9.4</w:t>
      </w:r>
      <w:r>
        <w:rPr>
          <w:rFonts w:eastAsia="方正仿宋_GBK" w:cs="方正仿宋_GBK" w:hint="eastAsia"/>
          <w:kern w:val="0"/>
          <w:sz w:val="32"/>
          <w:szCs w:val="32"/>
          <w:lang w:eastAsia="en-US"/>
        </w:rPr>
        <w:t>万元，完成预算的</w:t>
      </w:r>
      <w:r>
        <w:rPr>
          <w:rFonts w:eastAsia="方正仿宋_GBK" w:hint="eastAsia"/>
          <w:kern w:val="0"/>
          <w:sz w:val="32"/>
          <w:szCs w:val="32"/>
          <w:lang w:val="en-US" w:eastAsia="zh-CN"/>
        </w:rPr>
        <w:t>97.92</w:t>
      </w:r>
      <w:r>
        <w:rPr>
          <w:rFonts w:eastAsia="方正仿宋_GBK"/>
          <w:kern w:val="0"/>
          <w:sz w:val="32"/>
          <w:szCs w:val="32"/>
          <w:lang w:eastAsia="en-US"/>
        </w:rPr>
        <w:t>%</w:t>
      </w:r>
      <w:r>
        <w:rPr>
          <w:rFonts w:eastAsia="方正仿宋_GBK" w:cs="方正仿宋_GBK" w:hint="eastAsia"/>
          <w:kern w:val="0"/>
          <w:sz w:val="32"/>
          <w:szCs w:val="32"/>
          <w:lang w:eastAsia="en-US"/>
        </w:rPr>
        <w:t>。</w:t>
      </w:r>
      <w:r>
        <w:rPr>
          <w:rFonts w:eastAsia="方正仿宋_GBK" w:hint="eastAsia"/>
          <w:kern w:val="0"/>
          <w:sz w:val="32"/>
          <w:szCs w:val="32"/>
          <w:lang w:eastAsia="en-US"/>
        </w:rPr>
        <w:t>决算数小于预算数的主要原因是公务用车运行费缩减。</w:t>
      </w:r>
    </w:p>
    <w:p>
      <w:pPr>
        <w:autoSpaceDN w:val="0"/>
        <w:spacing w:line="560" w:lineRule="exact"/>
        <w:ind w:firstLineChars="200" w:firstLine="640"/>
        <w:rPr>
          <w:rFonts w:eastAsia="方正仿宋_GBK"/>
          <w:b/>
          <w:bCs/>
          <w:kern w:val="0"/>
          <w:sz w:val="32"/>
          <w:szCs w:val="32"/>
        </w:rPr>
      </w:pPr>
      <w:r>
        <w:rPr>
          <w:rFonts w:eastAsia="方正仿宋_GBK" w:hint="eastAsia"/>
          <w:b/>
          <w:bCs/>
          <w:kern w:val="0"/>
          <w:sz w:val="32"/>
          <w:szCs w:val="32"/>
          <w:lang w:eastAsia="zh-CN"/>
        </w:rPr>
        <w:t>（二）</w:t>
      </w:r>
      <w:r>
        <w:rPr>
          <w:rFonts w:eastAsia="方正仿宋_GBK"/>
          <w:b/>
          <w:bCs/>
          <w:kern w:val="0"/>
          <w:sz w:val="32"/>
          <w:szCs w:val="32"/>
        </w:rPr>
        <w:t>“</w:t>
      </w:r>
      <w:r>
        <w:rPr>
          <w:rFonts w:eastAsia="方正仿宋_GBK" w:cs="方正仿宋_GBK" w:hint="eastAsia"/>
          <w:b/>
          <w:bCs/>
          <w:kern w:val="0"/>
          <w:sz w:val="32"/>
          <w:szCs w:val="32"/>
        </w:rPr>
        <w:t>三公”经费财政拨款支出决算具体情况说明。</w:t>
      </w:r>
    </w:p>
    <w:p>
      <w:pPr>
        <w:autoSpaceDN w:val="0"/>
        <w:spacing w:line="560" w:lineRule="exact"/>
        <w:ind w:firstLineChars="200" w:firstLine="640"/>
        <w:rPr>
          <w:rFonts w:eastAsia="方正仿宋_GBK"/>
          <w:sz w:val="32"/>
          <w:szCs w:val="32"/>
        </w:rPr>
      </w:pPr>
      <w:r>
        <w:rPr>
          <w:rFonts w:eastAsia="方正仿宋_GBK" w:cs="方正仿宋_GBK" w:hint="eastAsia"/>
          <w:kern w:val="0"/>
          <w:sz w:val="32"/>
          <w:szCs w:val="32"/>
        </w:rPr>
        <w:t>公务用车运行</w:t>
      </w:r>
      <w:r>
        <w:rPr>
          <w:rFonts w:eastAsia="方正仿宋_GBK" w:cs="方正仿宋_GBK" w:hint="eastAsia"/>
          <w:kern w:val="0"/>
          <w:sz w:val="32"/>
          <w:szCs w:val="32"/>
          <w:lang w:eastAsia="zh-CN"/>
        </w:rPr>
        <w:t>维护</w:t>
      </w:r>
      <w:r>
        <w:rPr>
          <w:rFonts w:eastAsia="方正仿宋_GBK" w:cs="方正仿宋_GBK" w:hint="eastAsia"/>
          <w:kern w:val="0"/>
          <w:sz w:val="32"/>
          <w:szCs w:val="32"/>
        </w:rPr>
        <w:t>费</w:t>
      </w:r>
      <w:r>
        <w:rPr>
          <w:rFonts w:eastAsia="方正仿宋_GBK" w:cs="方正仿宋_GBK" w:hint="eastAsia"/>
          <w:sz w:val="32"/>
          <w:szCs w:val="32"/>
        </w:rPr>
        <w:t>预算为</w:t>
      </w:r>
      <w:r>
        <w:rPr>
          <w:rFonts w:eastAsia="方正仿宋_GBK" w:hint="eastAsia"/>
          <w:kern w:val="0"/>
          <w:sz w:val="32"/>
          <w:szCs w:val="32"/>
          <w:lang w:val="en-US" w:eastAsia="zh-CN"/>
        </w:rPr>
        <w:t>9.6</w:t>
      </w:r>
      <w:r>
        <w:rPr>
          <w:rFonts w:eastAsia="方正仿宋_GBK" w:cs="方正仿宋_GBK" w:hint="eastAsia"/>
          <w:sz w:val="32"/>
          <w:szCs w:val="32"/>
        </w:rPr>
        <w:t>万元，支出决算为</w:t>
      </w:r>
      <w:r>
        <w:rPr>
          <w:rFonts w:eastAsia="方正仿宋_GBK" w:hint="eastAsia"/>
          <w:sz w:val="32"/>
          <w:szCs w:val="32"/>
          <w:lang w:val="en-US" w:eastAsia="zh-CN"/>
        </w:rPr>
        <w:t>9.4</w:t>
      </w:r>
      <w:r>
        <w:rPr>
          <w:rFonts w:eastAsia="方正仿宋_GBK" w:cs="方正仿宋_GBK" w:hint="eastAsia"/>
          <w:sz w:val="32"/>
          <w:szCs w:val="32"/>
        </w:rPr>
        <w:t>万元，完成年初预算的</w:t>
      </w:r>
      <w:r>
        <w:rPr>
          <w:rFonts w:eastAsia="方正仿宋_GBK" w:hint="eastAsia"/>
          <w:kern w:val="0"/>
          <w:sz w:val="32"/>
          <w:szCs w:val="32"/>
          <w:lang w:val="en-US" w:eastAsia="zh-CN"/>
        </w:rPr>
        <w:t>97.92</w:t>
      </w:r>
      <w:r>
        <w:rPr>
          <w:rFonts w:eastAsia="方正仿宋_GBK"/>
          <w:sz w:val="32"/>
          <w:szCs w:val="32"/>
        </w:rPr>
        <w:t>%</w:t>
      </w:r>
      <w:r>
        <w:rPr>
          <w:rFonts w:eastAsia="方正仿宋_GBK" w:cs="方正仿宋_GBK" w:hint="eastAsia"/>
          <w:sz w:val="32"/>
          <w:szCs w:val="32"/>
        </w:rPr>
        <w:t>。</w:t>
      </w:r>
    </w:p>
    <w:p>
      <w:pPr>
        <w:pStyle w:val="79"/>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560" w:lineRule="exact"/>
        <w:ind w:left="0" w:right="0" w:firstLineChars="200" w:firstLine="640"/>
        <w:jc w:val="both"/>
        <w:outlineLvl w:val="9"/>
        <w:rPr>
          <w:rFonts w:eastAsia="方正仿宋_GBK"/>
          <w:color w:val="FF0000"/>
          <w:sz w:val="32"/>
          <w:szCs w:val="32"/>
        </w:rPr>
      </w:pPr>
      <w:r>
        <w:rPr>
          <w:rFonts w:eastAsia="方正仿宋_GBK" w:cs="方正仿宋_GBK" w:hint="eastAsia"/>
          <w:sz w:val="32"/>
          <w:szCs w:val="32"/>
        </w:rPr>
        <w:t>公务用车运行维护费包括</w:t>
      </w:r>
      <w:r>
        <w:rPr>
          <w:rFonts w:eastAsia="方正仿宋_GBK" w:cs="方正仿宋_GBK" w:hint="eastAsia"/>
          <w:kern w:val="0"/>
          <w:sz w:val="32"/>
          <w:szCs w:val="32"/>
          <w:lang w:eastAsia="zh-CN"/>
        </w:rPr>
        <w:t>额布都格</w:t>
      </w:r>
      <w:r>
        <w:rPr>
          <w:rFonts w:eastAsia="方正仿宋_GBK" w:cs="方正仿宋_GBK" w:hint="eastAsia"/>
          <w:kern w:val="0"/>
          <w:sz w:val="32"/>
          <w:szCs w:val="32"/>
        </w:rPr>
        <w:t>海关</w:t>
      </w:r>
      <w:r>
        <w:rPr>
          <w:rFonts w:eastAsia="方正仿宋_GBK" w:cs="方正仿宋_GBK" w:hint="eastAsia"/>
          <w:sz w:val="32"/>
          <w:szCs w:val="32"/>
        </w:rPr>
        <w:t>按规定保留的公务用车车辆燃料费、维修费、过桥过路费、保险费等支出。截至</w:t>
      </w:r>
      <w:r>
        <w:rPr>
          <w:rFonts w:eastAsia="方正仿宋_GBK"/>
          <w:sz w:val="32"/>
          <w:szCs w:val="32"/>
        </w:rPr>
        <w:t>202</w:t>
      </w:r>
      <w:r>
        <w:rPr>
          <w:rFonts w:eastAsia="方正仿宋_GBK" w:hint="eastAsia"/>
          <w:sz w:val="32"/>
          <w:szCs w:val="32"/>
          <w:lang w:val="en-US" w:eastAsia="zh-CN"/>
        </w:rPr>
        <w:t>5</w:t>
      </w:r>
      <w:r>
        <w:rPr>
          <w:rFonts w:eastAsia="方正仿宋_GBK" w:cs="方正仿宋_GBK" w:hint="eastAsia"/>
          <w:sz w:val="32"/>
          <w:szCs w:val="32"/>
        </w:rPr>
        <w:t>年</w:t>
      </w:r>
      <w:r>
        <w:rPr>
          <w:rFonts w:eastAsia="方正仿宋_GBK"/>
          <w:sz w:val="32"/>
          <w:szCs w:val="32"/>
        </w:rPr>
        <w:t>12</w:t>
      </w:r>
      <w:r>
        <w:rPr>
          <w:rFonts w:eastAsia="方正仿宋_GBK" w:cs="方正仿宋_GBK" w:hint="eastAsia"/>
          <w:sz w:val="32"/>
          <w:szCs w:val="32"/>
        </w:rPr>
        <w:t>月</w:t>
      </w:r>
      <w:r>
        <w:rPr>
          <w:rFonts w:eastAsia="方正仿宋_GBK"/>
          <w:sz w:val="32"/>
          <w:szCs w:val="32"/>
        </w:rPr>
        <w:t>31</w:t>
      </w:r>
      <w:r>
        <w:rPr>
          <w:rFonts w:eastAsia="方正仿宋_GBK" w:cs="方正仿宋_GBK" w:hint="eastAsia"/>
          <w:sz w:val="32"/>
          <w:szCs w:val="32"/>
        </w:rPr>
        <w:t>日，</w:t>
      </w:r>
      <w:r>
        <w:rPr>
          <w:rFonts w:eastAsia="方正仿宋_GBK" w:cs="方正仿宋_GBK" w:hint="eastAsia"/>
          <w:color w:val="auto"/>
          <w:kern w:val="0"/>
          <w:sz w:val="32"/>
          <w:szCs w:val="32"/>
          <w:lang w:eastAsia="zh-CN"/>
        </w:rPr>
        <w:t>额布都格</w:t>
      </w:r>
      <w:r>
        <w:rPr>
          <w:rFonts w:eastAsia="方正仿宋_GBK" w:cs="方正仿宋_GBK" w:hint="eastAsia"/>
          <w:color w:val="auto"/>
          <w:kern w:val="0"/>
          <w:sz w:val="32"/>
          <w:szCs w:val="32"/>
        </w:rPr>
        <w:t>海关开支财政拨款的公务用车保有量为</w:t>
      </w:r>
      <w:r>
        <w:rPr>
          <w:rFonts w:eastAsia="方正仿宋_GBK" w:hint="eastAsia"/>
          <w:color w:val="auto"/>
          <w:kern w:val="0"/>
          <w:sz w:val="32"/>
          <w:szCs w:val="32"/>
          <w:lang w:val="en-US" w:eastAsia="zh-CN"/>
        </w:rPr>
        <w:t>4</w:t>
      </w:r>
      <w:r>
        <w:rPr>
          <w:rFonts w:eastAsia="方正仿宋_GBK" w:cs="方正仿宋_GBK" w:hint="eastAsia"/>
          <w:color w:val="auto"/>
          <w:sz w:val="32"/>
          <w:szCs w:val="32"/>
        </w:rPr>
        <w:t>辆，</w:t>
      </w:r>
      <w:r>
        <w:rPr>
          <w:rFonts w:eastAsia="方正仿宋_GBK" w:cs="方正仿宋_GBK"/>
          <w:color w:val="auto"/>
          <w:sz w:val="32"/>
          <w:szCs w:val="32"/>
        </w:rPr>
        <w:t>具体为</w:t>
      </w:r>
      <w:r>
        <w:rPr>
          <w:rFonts w:eastAsia="方正仿宋_GBK" w:cs="方正仿宋_GBK" w:hint="eastAsia"/>
          <w:color w:val="auto"/>
          <w:sz w:val="32"/>
          <w:szCs w:val="32"/>
          <w:lang w:val="en-US" w:eastAsia="zh-CN"/>
        </w:rPr>
        <w:t>3辆执法执勤车辆</w:t>
      </w:r>
      <w:r>
        <w:rPr>
          <w:rFonts w:eastAsia="方正仿宋_GBK" w:cs="方正仿宋_GBK"/>
          <w:color w:val="auto"/>
          <w:sz w:val="32"/>
          <w:szCs w:val="32"/>
          <w:lang w:val="en-US" w:eastAsia="zh-CN"/>
        </w:rPr>
        <w:t>、</w:t>
      </w:r>
      <w:r>
        <w:rPr>
          <w:rFonts w:eastAsia="方正仿宋_GBK" w:cs="方正仿宋_GBK" w:hint="eastAsia"/>
          <w:color w:val="auto"/>
          <w:sz w:val="32"/>
          <w:szCs w:val="32"/>
          <w:lang w:val="en-US" w:eastAsia="zh-CN"/>
        </w:rPr>
        <w:t>1辆应急保障车辆。</w:t>
      </w:r>
      <w:r>
        <w:rPr>
          <w:rFonts w:eastAsia="方正仿宋_GBK" w:cs="方正仿宋_GBK" w:hint="eastAsia"/>
          <w:color w:val="auto"/>
          <w:kern w:val="0"/>
          <w:sz w:val="32"/>
          <w:szCs w:val="32"/>
          <w:lang w:eastAsia="zh-CN"/>
        </w:rPr>
        <w:t>额布都格</w:t>
      </w:r>
      <w:r>
        <w:rPr>
          <w:rFonts w:eastAsia="方正仿宋_GBK" w:cs="方正仿宋_GBK" w:hint="eastAsia"/>
          <w:color w:val="auto"/>
          <w:kern w:val="0"/>
          <w:sz w:val="32"/>
          <w:szCs w:val="32"/>
        </w:rPr>
        <w:t>海关</w:t>
      </w:r>
      <w:r>
        <w:rPr>
          <w:rFonts w:eastAsia="方正仿宋_GBK" w:cs="方正仿宋_GBK" w:hint="eastAsia"/>
          <w:color w:val="auto"/>
          <w:sz w:val="32"/>
          <w:szCs w:val="32"/>
        </w:rPr>
        <w:t>承担</w:t>
      </w:r>
      <w:r>
        <w:rPr>
          <w:rFonts w:ascii="Times New Roman" w:eastAsia="方正仿宋_GBK" w:cs="方正仿宋_GBK" w:hAnsi="Times New Roman" w:hint="eastAsia"/>
          <w:caps w:val="0"/>
          <w:smallCaps w:val="0"/>
          <w:color w:val="auto"/>
          <w:sz w:val="32"/>
          <w:szCs w:val="32"/>
          <w:vertAlign w:val="baseline"/>
        </w:rPr>
        <w:t>进出境监管、征收关税和其他</w:t>
      </w:r>
      <w:r>
        <w:rPr>
          <w:rFonts w:ascii="Times New Roman" w:eastAsia="方正仿宋_GBK" w:cs="宋体" w:hAnsi="Times New Roman" w:hint="eastAsia"/>
          <w:caps w:val="0"/>
          <w:smallCaps w:val="0"/>
          <w:color w:val="auto"/>
          <w:sz w:val="32"/>
          <w:szCs w:val="32"/>
          <w:vertAlign w:val="baseline"/>
          <w:lang w:eastAsia="zh-CN"/>
        </w:rPr>
        <w:t>税、查缉走私、编制</w:t>
      </w:r>
      <w:r>
        <w:rPr>
          <w:rFonts w:ascii="Times New Roman" w:eastAsia="方正仿宋_GBK" w:cs="方正仿宋_GBK" w:hAnsi="Times New Roman" w:hint="eastAsia"/>
          <w:caps w:val="0"/>
          <w:smallCaps w:val="0"/>
          <w:color w:val="auto"/>
          <w:sz w:val="32"/>
          <w:szCs w:val="32"/>
          <w:vertAlign w:val="baseline"/>
        </w:rPr>
        <w:t>海关统计、检验检疫</w:t>
      </w:r>
      <w:r>
        <w:rPr>
          <w:rFonts w:ascii="Times New Roman" w:eastAsia="方正仿宋_GBK" w:cs="宋体" w:hAnsi="Times New Roman" w:hint="eastAsia"/>
          <w:caps w:val="0"/>
          <w:smallCaps w:val="0"/>
          <w:color w:val="auto"/>
          <w:sz w:val="32"/>
          <w:szCs w:val="32"/>
          <w:vertAlign w:val="baseline"/>
          <w:lang w:eastAsia="zh-CN"/>
        </w:rPr>
        <w:t>等海关</w:t>
      </w:r>
      <w:r>
        <w:rPr>
          <w:rFonts w:ascii="Times New Roman" w:eastAsia="方正仿宋_GBK" w:cs="方正仿宋_GBK" w:hAnsi="Times New Roman" w:hint="eastAsia"/>
          <w:caps w:val="0"/>
          <w:smallCaps w:val="0"/>
          <w:color w:val="auto"/>
          <w:sz w:val="32"/>
          <w:szCs w:val="32"/>
          <w:vertAlign w:val="baseline"/>
        </w:rPr>
        <w:t>工作职责</w:t>
      </w:r>
      <w:r>
        <w:rPr>
          <w:rFonts w:ascii="Times New Roman" w:eastAsia="方正仿宋_GBK" w:cs="方正仿宋_GBK" w:hAnsi="Times New Roman" w:hint="eastAsia"/>
          <w:caps w:val="0"/>
          <w:smallCaps w:val="0"/>
          <w:color w:val="auto"/>
          <w:sz w:val="32"/>
          <w:szCs w:val="32"/>
          <w:vertAlign w:val="baseline"/>
          <w:lang w:eastAsia="zh-CN"/>
        </w:rPr>
        <w:t>。</w:t>
      </w:r>
      <w:r>
        <w:rPr>
          <w:rFonts w:eastAsia="方正仿宋_GBK" w:cs="方正仿宋_GBK" w:hint="eastAsia"/>
          <w:color w:val="auto"/>
          <w:sz w:val="32"/>
          <w:szCs w:val="32"/>
        </w:rPr>
        <w:t>海关车辆大部分为执法执勤用车，是海关执法执勤装备，为</w:t>
      </w:r>
      <w:r>
        <w:rPr>
          <w:rFonts w:eastAsia="方正仿宋_GBK" w:cs="方正仿宋_GBK" w:hint="eastAsia"/>
          <w:color w:val="auto"/>
          <w:kern w:val="0"/>
          <w:sz w:val="32"/>
          <w:szCs w:val="32"/>
          <w:lang w:eastAsia="zh-CN"/>
        </w:rPr>
        <w:t>额布都格</w:t>
      </w:r>
      <w:r>
        <w:rPr>
          <w:rFonts w:eastAsia="方正仿宋_GBK" w:cs="方正仿宋_GBK" w:hint="eastAsia"/>
          <w:color w:val="auto"/>
          <w:kern w:val="0"/>
          <w:sz w:val="32"/>
          <w:szCs w:val="32"/>
        </w:rPr>
        <w:t>海关</w:t>
      </w:r>
      <w:r>
        <w:rPr>
          <w:rFonts w:eastAsia="方正仿宋_GBK" w:cs="方正仿宋_GBK" w:hint="eastAsia"/>
          <w:color w:val="auto"/>
          <w:sz w:val="32"/>
          <w:szCs w:val="32"/>
        </w:rPr>
        <w:t>正常开展执法执勤工作的必要保障。</w:t>
      </w:r>
    </w:p>
    <w:p>
      <w:pPr>
        <w:autoSpaceDN w:val="0"/>
        <w:spacing w:line="560" w:lineRule="exact"/>
        <w:ind w:firstLineChars="200" w:firstLine="640"/>
        <w:rPr>
          <w:rFonts w:eastAsia="方正楷体_GBK"/>
          <w:b/>
          <w:bCs/>
          <w:sz w:val="32"/>
          <w:szCs w:val="32"/>
        </w:rPr>
      </w:pPr>
      <w:r>
        <w:rPr>
          <w:rFonts w:eastAsia="方正楷体_GBK" w:cs="方正楷体_GBK" w:hint="eastAsia"/>
          <w:b/>
          <w:bCs/>
          <w:sz w:val="32"/>
          <w:szCs w:val="32"/>
          <w:lang w:eastAsia="zh-CN"/>
        </w:rPr>
        <w:t>九、</w:t>
      </w:r>
      <w:r>
        <w:rPr>
          <w:rFonts w:eastAsia="方正楷体_GBK" w:cs="方正楷体_GBK" w:hint="eastAsia"/>
          <w:b/>
          <w:bCs/>
          <w:sz w:val="32"/>
          <w:szCs w:val="32"/>
        </w:rPr>
        <w:t>机关运行经费支出说明</w:t>
      </w:r>
    </w:p>
    <w:p>
      <w:pPr>
        <w:autoSpaceDN w:val="0"/>
        <w:spacing w:line="560" w:lineRule="exact"/>
        <w:ind w:firstLineChars="200" w:firstLine="640"/>
        <w:rPr>
          <w:rFonts w:eastAsia="方正仿宋_GBK" w:cs="方正仿宋_GBK" w:hint="eastAsia"/>
          <w:kern w:val="0"/>
          <w:sz w:val="32"/>
          <w:szCs w:val="32"/>
          <w:lang w:eastAsia="zh-CN"/>
        </w:rPr>
      </w:pPr>
      <w:r>
        <w:rPr>
          <w:rFonts w:eastAsia="方正仿宋_GBK" w:cs="方正仿宋_GBK" w:hint="eastAsia"/>
          <w:kern w:val="0"/>
          <w:sz w:val="32"/>
          <w:szCs w:val="32"/>
          <w:lang w:eastAsia="zh-CN"/>
        </w:rPr>
        <w:t>额布都格</w:t>
      </w:r>
      <w:r>
        <w:rPr>
          <w:rFonts w:eastAsia="方正仿宋_GBK" w:cs="方正仿宋_GBK" w:hint="eastAsia"/>
          <w:sz w:val="32"/>
          <w:szCs w:val="32"/>
        </w:rPr>
        <w:t>海关</w:t>
      </w:r>
      <w:r>
        <w:rPr>
          <w:rFonts w:eastAsia="方正仿宋_GBK"/>
          <w:kern w:val="0"/>
          <w:sz w:val="32"/>
          <w:szCs w:val="32"/>
        </w:rPr>
        <w:t>202</w:t>
      </w:r>
      <w:r>
        <w:rPr>
          <w:rFonts w:eastAsia="方正仿宋_GBK" w:hint="eastAsia"/>
          <w:kern w:val="0"/>
          <w:sz w:val="32"/>
          <w:szCs w:val="32"/>
          <w:lang w:val="en-US" w:eastAsia="zh-CN"/>
        </w:rPr>
        <w:t>5</w:t>
      </w:r>
      <w:r>
        <w:rPr>
          <w:rFonts w:eastAsia="方正仿宋_GBK" w:cs="方正仿宋_GBK" w:hint="eastAsia"/>
          <w:kern w:val="0"/>
          <w:sz w:val="32"/>
          <w:szCs w:val="32"/>
        </w:rPr>
        <w:t>年度机关运行经费支出</w:t>
      </w:r>
      <w:r>
        <w:rPr>
          <w:rFonts w:eastAsia="方正仿宋_GBK" w:hint="eastAsia"/>
          <w:kern w:val="0"/>
          <w:sz w:val="32"/>
          <w:szCs w:val="32"/>
          <w:lang w:val="en-US" w:eastAsia="zh-CN"/>
        </w:rPr>
        <w:t>190.41</w:t>
      </w:r>
      <w:r>
        <w:rPr>
          <w:rFonts w:eastAsia="方正仿宋_GBK" w:cs="方正仿宋_GBK" w:hint="eastAsia"/>
          <w:kern w:val="0"/>
          <w:sz w:val="32"/>
          <w:szCs w:val="32"/>
        </w:rPr>
        <w:t>万元，比</w:t>
      </w:r>
      <w:r>
        <w:rPr>
          <w:rFonts w:eastAsia="方正仿宋_GBK"/>
          <w:kern w:val="0"/>
          <w:sz w:val="32"/>
          <w:szCs w:val="32"/>
        </w:rPr>
        <w:t>202</w:t>
      </w:r>
      <w:r>
        <w:rPr>
          <w:rFonts w:eastAsia="方正仿宋_GBK" w:hint="eastAsia"/>
          <w:kern w:val="0"/>
          <w:sz w:val="32"/>
          <w:szCs w:val="32"/>
          <w:lang w:val="en-US" w:eastAsia="zh-CN"/>
        </w:rPr>
        <w:t>4</w:t>
      </w:r>
      <w:r>
        <w:rPr>
          <w:rFonts w:eastAsia="方正仿宋_GBK" w:cs="方正仿宋_GBK" w:hint="eastAsia"/>
          <w:kern w:val="0"/>
          <w:sz w:val="32"/>
          <w:szCs w:val="32"/>
        </w:rPr>
        <w:t>年</w:t>
      </w:r>
      <w:r>
        <w:rPr>
          <w:rFonts w:eastAsia="方正仿宋_GBK" w:cs="方正仿宋_GBK" w:hint="eastAsia"/>
          <w:kern w:val="0"/>
          <w:sz w:val="32"/>
          <w:szCs w:val="32"/>
          <w:lang w:eastAsia="zh-CN"/>
        </w:rPr>
        <w:t>增加</w:t>
      </w:r>
      <w:r>
        <w:rPr>
          <w:rFonts w:eastAsia="方正仿宋_GBK" w:cs="方正仿宋_GBK" w:hint="eastAsia"/>
          <w:kern w:val="0"/>
          <w:sz w:val="32"/>
          <w:szCs w:val="32"/>
          <w:lang w:val="en-US" w:eastAsia="zh-CN"/>
        </w:rPr>
        <w:t>190.41</w:t>
      </w:r>
      <w:r>
        <w:rPr>
          <w:rFonts w:eastAsia="方正仿宋_GBK" w:cs="方正仿宋_GBK" w:hint="eastAsia"/>
          <w:kern w:val="0"/>
          <w:sz w:val="32"/>
          <w:szCs w:val="32"/>
          <w:lang w:eastAsia="en-US"/>
        </w:rPr>
        <w:t>万元，</w:t>
      </w:r>
      <w:r>
        <w:rPr>
          <w:rFonts w:eastAsia="方正仿宋_GBK" w:cs="方正仿宋_GBK" w:hint="eastAsia"/>
          <w:kern w:val="0"/>
          <w:sz w:val="32"/>
          <w:szCs w:val="32"/>
          <w:lang w:eastAsia="zh-CN"/>
        </w:rPr>
        <w:t>增长</w:t>
      </w:r>
      <w:r>
        <w:rPr>
          <w:rFonts w:eastAsia="方正仿宋_GBK" w:cs="方正仿宋_GBK" w:hint="eastAsia"/>
          <w:kern w:val="0"/>
          <w:sz w:val="32"/>
          <w:szCs w:val="32"/>
          <w:lang w:val="en-US" w:eastAsia="zh-CN"/>
        </w:rPr>
        <w:t>100</w:t>
      </w:r>
      <w:r>
        <w:rPr>
          <w:rFonts w:eastAsia="方正仿宋_GBK" w:cs="方正仿宋_GBK" w:hint="eastAsia"/>
          <w:kern w:val="0"/>
          <w:sz w:val="32"/>
          <w:szCs w:val="32"/>
          <w:lang w:eastAsia="en-US"/>
        </w:rPr>
        <w:t>%，主要原因是</w:t>
      </w:r>
      <w:r>
        <w:rPr>
          <w:rFonts w:eastAsia="方正仿宋_GBK" w:cs="方正仿宋_GBK" w:hint="eastAsia"/>
          <w:color w:val="auto"/>
          <w:kern w:val="0"/>
          <w:sz w:val="32"/>
          <w:szCs w:val="32"/>
          <w:lang w:eastAsia="zh-CN"/>
        </w:rPr>
        <w:t>额布都格</w:t>
      </w:r>
      <w:r>
        <w:rPr>
          <w:rFonts w:eastAsia="方正仿宋_GBK" w:cs="方正仿宋_GBK" w:hint="eastAsia"/>
          <w:color w:val="auto"/>
          <w:kern w:val="0"/>
          <w:sz w:val="32"/>
          <w:szCs w:val="32"/>
        </w:rPr>
        <w:t>海关</w:t>
      </w:r>
      <w:r>
        <w:rPr>
          <w:rFonts w:eastAsia="方正仿宋_GBK" w:hint="eastAsia"/>
          <w:sz w:val="32"/>
          <w:szCs w:val="32"/>
          <w:lang w:eastAsia="zh-CN"/>
        </w:rPr>
        <w:t>为</w:t>
      </w:r>
      <w:r>
        <w:rPr>
          <w:rFonts w:eastAsia="方正仿宋_GBK" w:hint="eastAsia"/>
          <w:sz w:val="32"/>
          <w:szCs w:val="32"/>
          <w:lang w:val="en-US" w:eastAsia="zh-CN"/>
        </w:rPr>
        <w:t>2025年新成立财务独立核算单位</w:t>
      </w:r>
      <w:r>
        <w:rPr>
          <w:rFonts w:eastAsia="方正仿宋_GBK" w:cs="方正仿宋_GBK" w:hint="eastAsia"/>
          <w:kern w:val="0"/>
          <w:sz w:val="32"/>
          <w:szCs w:val="32"/>
          <w:lang w:eastAsia="zh-CN"/>
        </w:rPr>
        <w:t>。</w:t>
      </w:r>
    </w:p>
    <w:p>
      <w:pPr>
        <w:autoSpaceDN w:val="0"/>
        <w:spacing w:line="560" w:lineRule="exact"/>
        <w:ind w:firstLineChars="200" w:firstLine="640"/>
        <w:rPr>
          <w:rFonts w:eastAsia="方正楷体_GBK"/>
          <w:b/>
          <w:bCs/>
          <w:sz w:val="32"/>
          <w:szCs w:val="32"/>
        </w:rPr>
      </w:pPr>
      <w:r>
        <w:rPr>
          <w:rFonts w:eastAsia="方正楷体_GBK" w:cs="方正楷体_GBK" w:hint="eastAsia"/>
          <w:b/>
          <w:bCs/>
          <w:sz w:val="32"/>
          <w:szCs w:val="32"/>
          <w:lang w:eastAsia="zh-CN"/>
        </w:rPr>
        <w:t>十、</w:t>
      </w:r>
      <w:r>
        <w:rPr>
          <w:rFonts w:eastAsia="方正楷体_GBK" w:cs="方正楷体_GBK" w:hint="eastAsia"/>
          <w:b/>
          <w:bCs/>
          <w:sz w:val="32"/>
          <w:szCs w:val="32"/>
        </w:rPr>
        <w:t>政府采购支出说明。</w:t>
      </w:r>
    </w:p>
    <w:p>
      <w:pPr>
        <w:autoSpaceDN w:val="0"/>
        <w:spacing w:line="560" w:lineRule="exact"/>
        <w:ind w:firstLineChars="200" w:firstLine="640"/>
        <w:rPr>
          <w:rFonts w:eastAsia="方正仿宋_GBK"/>
          <w:kern w:val="0"/>
          <w:sz w:val="32"/>
          <w:szCs w:val="32"/>
        </w:rPr>
      </w:pPr>
      <w:r>
        <w:rPr>
          <w:rFonts w:eastAsia="方正仿宋_GBK" w:cs="方正仿宋_GBK" w:hint="eastAsia"/>
          <w:kern w:val="0"/>
          <w:sz w:val="32"/>
          <w:szCs w:val="32"/>
          <w:lang w:eastAsia="zh-CN"/>
        </w:rPr>
        <w:t>额布都格</w:t>
      </w:r>
      <w:r>
        <w:rPr>
          <w:rFonts w:eastAsia="方正仿宋_GBK" w:cs="方正仿宋_GBK" w:hint="eastAsia"/>
          <w:sz w:val="32"/>
          <w:szCs w:val="32"/>
        </w:rPr>
        <w:t>海关</w:t>
      </w:r>
      <w:r>
        <w:rPr>
          <w:rFonts w:eastAsia="方正仿宋_GBK"/>
          <w:kern w:val="0"/>
          <w:sz w:val="32"/>
          <w:szCs w:val="32"/>
        </w:rPr>
        <w:t>202</w:t>
      </w:r>
      <w:r>
        <w:rPr>
          <w:rFonts w:eastAsia="方正仿宋_GBK" w:hint="eastAsia"/>
          <w:kern w:val="0"/>
          <w:sz w:val="32"/>
          <w:szCs w:val="32"/>
          <w:lang w:val="en-US" w:eastAsia="zh-CN"/>
        </w:rPr>
        <w:t>5</w:t>
      </w:r>
      <w:r>
        <w:rPr>
          <w:rFonts w:eastAsia="方正仿宋_GBK" w:cs="方正仿宋_GBK" w:hint="eastAsia"/>
          <w:kern w:val="0"/>
          <w:sz w:val="32"/>
          <w:szCs w:val="32"/>
        </w:rPr>
        <w:t>年度政府</w:t>
      </w:r>
      <w:r>
        <w:rPr>
          <w:rFonts w:eastAsia="方正仿宋_GBK" w:cs="方正仿宋_GBK" w:hint="eastAsia"/>
          <w:kern w:val="0"/>
          <w:sz w:val="32"/>
          <w:szCs w:val="32"/>
          <w:lang w:eastAsia="zh-CN"/>
        </w:rPr>
        <w:t>采购</w:t>
      </w:r>
      <w:r>
        <w:rPr>
          <w:rFonts w:eastAsia="方正仿宋_GBK" w:cs="方正仿宋_GBK" w:hint="eastAsia"/>
          <w:kern w:val="0"/>
          <w:sz w:val="32"/>
          <w:szCs w:val="32"/>
        </w:rPr>
        <w:t>支出总额</w:t>
      </w:r>
      <w:r>
        <w:rPr>
          <w:rFonts w:eastAsia="方正仿宋_GBK" w:hint="eastAsia"/>
          <w:kern w:val="0"/>
          <w:sz w:val="32"/>
          <w:szCs w:val="32"/>
          <w:lang w:val="en-US" w:eastAsia="zh-CN"/>
        </w:rPr>
        <w:t>17</w:t>
      </w:r>
      <w:r>
        <w:rPr>
          <w:rFonts w:eastAsia="方正仿宋_GBK" w:cs="方正仿宋_GBK" w:hint="eastAsia"/>
          <w:kern w:val="0"/>
          <w:sz w:val="32"/>
          <w:szCs w:val="32"/>
        </w:rPr>
        <w:t>万元，其中：政府采购货物支出</w:t>
      </w:r>
      <w:r>
        <w:rPr>
          <w:rFonts w:eastAsia="方正仿宋_GBK" w:hint="eastAsia"/>
          <w:sz w:val="32"/>
          <w:szCs w:val="32"/>
          <w:lang w:val="en-US" w:eastAsia="zh-CN"/>
        </w:rPr>
        <w:t>12.58</w:t>
      </w:r>
      <w:r>
        <w:rPr>
          <w:rFonts w:eastAsia="方正仿宋_GBK" w:cs="方正仿宋_GBK" w:hint="eastAsia"/>
          <w:kern w:val="0"/>
          <w:sz w:val="32"/>
          <w:szCs w:val="32"/>
        </w:rPr>
        <w:t>元。授予中</w:t>
      </w:r>
      <w:r>
        <w:rPr>
          <w:rFonts w:eastAsia="方正仿宋_GBK" w:cs="方正仿宋_GBK" w:hint="eastAsia"/>
          <w:kern w:val="0"/>
          <w:sz w:val="32"/>
          <w:szCs w:val="32"/>
          <w:lang w:eastAsia="zh-CN"/>
        </w:rPr>
        <w:t>型</w:t>
      </w:r>
      <w:r>
        <w:rPr>
          <w:rFonts w:eastAsia="方正仿宋_GBK" w:cs="方正仿宋_GBK" w:hint="eastAsia"/>
          <w:kern w:val="0"/>
          <w:sz w:val="32"/>
          <w:szCs w:val="32"/>
        </w:rPr>
        <w:t>企业合同金额</w:t>
      </w:r>
      <w:r>
        <w:rPr>
          <w:rFonts w:eastAsia="方正仿宋_GBK" w:cs="方正仿宋_GBK" w:hint="eastAsia"/>
          <w:kern w:val="0"/>
          <w:sz w:val="32"/>
          <w:szCs w:val="32"/>
          <w:lang w:val="en-US" w:eastAsia="zh-CN"/>
        </w:rPr>
        <w:t>12.58</w:t>
      </w:r>
      <w:r>
        <w:rPr>
          <w:rFonts w:eastAsia="方正仿宋_GBK" w:cs="方正仿宋_GBK" w:hint="eastAsia"/>
          <w:kern w:val="0"/>
          <w:sz w:val="32"/>
          <w:szCs w:val="32"/>
        </w:rPr>
        <w:t>万元，占政府采购支出总额的</w:t>
      </w:r>
      <w:r>
        <w:rPr>
          <w:rFonts w:eastAsia="方正仿宋_GBK" w:cs="方正仿宋_GBK" w:hint="eastAsia"/>
          <w:kern w:val="0"/>
          <w:sz w:val="32"/>
          <w:szCs w:val="32"/>
          <w:lang w:val="en-US" w:eastAsia="zh-CN"/>
        </w:rPr>
        <w:t>100</w:t>
      </w:r>
      <w:r>
        <w:rPr>
          <w:rFonts w:eastAsia="方正仿宋_GBK"/>
          <w:kern w:val="0"/>
          <w:sz w:val="32"/>
          <w:szCs w:val="32"/>
        </w:rPr>
        <w:t>%</w:t>
      </w:r>
      <w:r>
        <w:rPr>
          <w:rFonts w:eastAsia="方正仿宋_GBK" w:cs="方正仿宋_GBK" w:hint="eastAsia"/>
          <w:kern w:val="0"/>
          <w:sz w:val="32"/>
          <w:szCs w:val="32"/>
        </w:rPr>
        <w:t>。</w:t>
      </w:r>
    </w:p>
    <w:p>
      <w:pPr>
        <w:autoSpaceDN w:val="0"/>
        <w:spacing w:line="560" w:lineRule="exact"/>
        <w:ind w:firstLineChars="200" w:firstLine="640"/>
        <w:rPr>
          <w:rFonts w:eastAsia="方正楷体_GBK"/>
          <w:b/>
          <w:bCs/>
          <w:sz w:val="32"/>
          <w:szCs w:val="32"/>
        </w:rPr>
      </w:pPr>
      <w:r>
        <w:rPr>
          <w:rFonts w:eastAsia="方正楷体_GBK" w:cs="方正楷体_GBK" w:hint="eastAsia"/>
          <w:b/>
          <w:bCs/>
          <w:sz w:val="32"/>
          <w:szCs w:val="32"/>
          <w:lang w:eastAsia="zh-CN"/>
        </w:rPr>
        <w:t>十一、</w:t>
      </w:r>
      <w:r>
        <w:rPr>
          <w:rFonts w:eastAsia="方正楷体_GBK" w:cs="方正楷体_GBK" w:hint="eastAsia"/>
          <w:b/>
          <w:bCs/>
          <w:sz w:val="32"/>
          <w:szCs w:val="32"/>
        </w:rPr>
        <w:t>国有资产占用情况说明。</w:t>
      </w:r>
    </w:p>
    <w:p>
      <w:pPr>
        <w:autoSpaceDN w:val="0"/>
        <w:spacing w:line="560" w:lineRule="exact"/>
        <w:ind w:firstLineChars="200" w:firstLine="640"/>
        <w:rPr>
          <w:rFonts w:eastAsia="方正仿宋_GBK"/>
          <w:kern w:val="0"/>
          <w:sz w:val="32"/>
          <w:szCs w:val="32"/>
        </w:rPr>
      </w:pPr>
      <w:r>
        <w:rPr>
          <w:rFonts w:eastAsia="方正仿宋_GBK" w:cs="方正仿宋_GBK" w:hint="eastAsia"/>
          <w:kern w:val="0"/>
          <w:sz w:val="32"/>
          <w:szCs w:val="32"/>
        </w:rPr>
        <w:t>截至</w:t>
      </w:r>
      <w:r>
        <w:rPr>
          <w:rFonts w:eastAsia="方正仿宋_GBK"/>
          <w:kern w:val="0"/>
          <w:sz w:val="32"/>
          <w:szCs w:val="32"/>
        </w:rPr>
        <w:t>202</w:t>
      </w:r>
      <w:r>
        <w:rPr>
          <w:rFonts w:eastAsia="方正仿宋_GBK" w:hint="eastAsia"/>
          <w:kern w:val="0"/>
          <w:sz w:val="32"/>
          <w:szCs w:val="32"/>
          <w:lang w:val="en-US" w:eastAsia="zh-CN"/>
        </w:rPr>
        <w:t>5</w:t>
      </w:r>
      <w:r>
        <w:rPr>
          <w:rFonts w:eastAsia="方正仿宋_GBK" w:cs="方正仿宋_GBK" w:hint="eastAsia"/>
          <w:kern w:val="0"/>
          <w:sz w:val="32"/>
          <w:szCs w:val="32"/>
        </w:rPr>
        <w:t>年</w:t>
      </w:r>
      <w:r>
        <w:rPr>
          <w:rFonts w:eastAsia="方正仿宋_GBK"/>
          <w:kern w:val="0"/>
          <w:sz w:val="32"/>
          <w:szCs w:val="32"/>
        </w:rPr>
        <w:t>12</w:t>
      </w:r>
      <w:r>
        <w:rPr>
          <w:rFonts w:eastAsia="方正仿宋_GBK" w:cs="方正仿宋_GBK" w:hint="eastAsia"/>
          <w:kern w:val="0"/>
          <w:sz w:val="32"/>
          <w:szCs w:val="32"/>
        </w:rPr>
        <w:t>月</w:t>
      </w:r>
      <w:r>
        <w:rPr>
          <w:rFonts w:eastAsia="方正仿宋_GBK"/>
          <w:kern w:val="0"/>
          <w:sz w:val="32"/>
          <w:szCs w:val="32"/>
        </w:rPr>
        <w:t>31</w:t>
      </w:r>
      <w:r>
        <w:rPr>
          <w:rFonts w:eastAsia="方正仿宋_GBK" w:cs="方正仿宋_GBK" w:hint="eastAsia"/>
          <w:kern w:val="0"/>
          <w:sz w:val="32"/>
          <w:szCs w:val="32"/>
        </w:rPr>
        <w:t>日，</w:t>
      </w:r>
      <w:r>
        <w:rPr>
          <w:rFonts w:eastAsia="方正仿宋_GBK" w:cs="方正仿宋_GBK" w:hint="eastAsia"/>
          <w:kern w:val="0"/>
          <w:sz w:val="32"/>
          <w:szCs w:val="32"/>
          <w:lang w:eastAsia="zh-CN"/>
        </w:rPr>
        <w:t>额布都格</w:t>
      </w:r>
      <w:r>
        <w:rPr>
          <w:rFonts w:eastAsia="方正仿宋_GBK" w:cs="方正仿宋_GBK" w:hint="eastAsia"/>
          <w:sz w:val="32"/>
          <w:szCs w:val="32"/>
        </w:rPr>
        <w:t>海关</w:t>
      </w:r>
      <w:r>
        <w:rPr>
          <w:rFonts w:eastAsia="方正仿宋_GBK" w:cs="方正仿宋_GBK" w:hint="eastAsia"/>
          <w:kern w:val="0"/>
          <w:sz w:val="32"/>
          <w:szCs w:val="32"/>
        </w:rPr>
        <w:t>共有车辆</w:t>
      </w:r>
      <w:r>
        <w:rPr>
          <w:rFonts w:eastAsia="方正仿宋_GBK" w:cs="方正仿宋_GBK" w:hint="eastAsia"/>
          <w:kern w:val="0"/>
          <w:sz w:val="32"/>
          <w:szCs w:val="32"/>
          <w:lang w:val="en-US" w:eastAsia="zh-CN"/>
        </w:rPr>
        <w:t>4</w:t>
      </w:r>
      <w:r>
        <w:rPr>
          <w:rFonts w:eastAsia="方正仿宋_GBK" w:cs="方正仿宋_GBK" w:hint="eastAsia"/>
          <w:kern w:val="0"/>
          <w:sz w:val="32"/>
          <w:szCs w:val="32"/>
        </w:rPr>
        <w:t>辆（台），其中：应急保障用车</w:t>
      </w:r>
      <w:r>
        <w:rPr>
          <w:rFonts w:eastAsia="方正仿宋_GBK" w:cs="方正仿宋_GBK" w:hint="eastAsia"/>
          <w:kern w:val="0"/>
          <w:sz w:val="32"/>
          <w:szCs w:val="32"/>
          <w:lang w:val="en-US" w:eastAsia="zh-CN"/>
        </w:rPr>
        <w:t>1</w:t>
      </w:r>
      <w:r>
        <w:rPr>
          <w:rFonts w:eastAsia="方正仿宋_GBK" w:cs="方正仿宋_GBK" w:hint="eastAsia"/>
          <w:kern w:val="0"/>
          <w:sz w:val="32"/>
          <w:szCs w:val="32"/>
        </w:rPr>
        <w:t>辆、执法执勤用车</w:t>
      </w:r>
      <w:r>
        <w:rPr>
          <w:rFonts w:eastAsia="方正仿宋_GBK" w:cs="方正仿宋_GBK" w:hint="eastAsia"/>
          <w:kern w:val="0"/>
          <w:sz w:val="32"/>
          <w:szCs w:val="32"/>
          <w:lang w:val="en-US" w:eastAsia="zh-CN"/>
        </w:rPr>
        <w:t>3</w:t>
      </w:r>
      <w:r>
        <w:rPr>
          <w:rFonts w:eastAsia="方正仿宋_GBK" w:cs="方正仿宋_GBK" w:hint="eastAsia"/>
          <w:kern w:val="0"/>
          <w:sz w:val="32"/>
          <w:szCs w:val="32"/>
        </w:rPr>
        <w:t>辆</w:t>
      </w:r>
      <w:r>
        <w:rPr>
          <w:rFonts w:eastAsia="方正仿宋_GBK" w:cs="方正仿宋_GBK"/>
          <w:kern w:val="0"/>
          <w:sz w:val="32"/>
          <w:szCs w:val="32"/>
        </w:rPr>
        <w:t>；</w:t>
      </w:r>
      <w:r>
        <w:rPr>
          <w:rFonts w:eastAsia="方正仿宋_GBK" w:cs="方正仿宋_GBK" w:hint="eastAsia"/>
          <w:kern w:val="0"/>
          <w:sz w:val="32"/>
          <w:szCs w:val="32"/>
          <w:lang w:eastAsia="zh-CN"/>
        </w:rPr>
        <w:t>无</w:t>
      </w:r>
      <w:r>
        <w:rPr>
          <w:rFonts w:eastAsia="方正仿宋_GBK" w:cs="方正仿宋_GBK" w:hint="eastAsia"/>
          <w:kern w:val="0"/>
          <w:sz w:val="32"/>
          <w:szCs w:val="32"/>
        </w:rPr>
        <w:t>单价</w:t>
      </w:r>
      <w:r>
        <w:rPr>
          <w:rFonts w:eastAsia="方正仿宋_GBK"/>
          <w:kern w:val="0"/>
          <w:sz w:val="32"/>
          <w:szCs w:val="32"/>
        </w:rPr>
        <w:t>100</w:t>
      </w:r>
      <w:r>
        <w:rPr>
          <w:rFonts w:eastAsia="方正仿宋_GBK" w:cs="方正仿宋_GBK" w:hint="eastAsia"/>
          <w:kern w:val="0"/>
          <w:sz w:val="32"/>
          <w:szCs w:val="32"/>
        </w:rPr>
        <w:t>万元（含）以上的专用设备。</w:t>
      </w:r>
    </w:p>
    <w:p>
      <w:pPr>
        <w:autoSpaceDN w:val="0"/>
        <w:spacing w:line="560" w:lineRule="exact"/>
        <w:ind w:firstLineChars="200" w:firstLine="640"/>
        <w:rPr>
          <w:rFonts w:eastAsia="方正楷体_GBK"/>
          <w:b/>
          <w:bCs/>
          <w:sz w:val="32"/>
          <w:szCs w:val="32"/>
        </w:rPr>
      </w:pPr>
      <w:r>
        <w:rPr>
          <w:rFonts w:eastAsia="方正楷体_GBK" w:cs="方正楷体_GBK" w:hint="eastAsia"/>
          <w:b/>
          <w:bCs/>
          <w:sz w:val="32"/>
          <w:szCs w:val="32"/>
          <w:lang w:eastAsia="zh-CN"/>
        </w:rPr>
        <w:t>十二、</w:t>
      </w:r>
      <w:r>
        <w:rPr>
          <w:rFonts w:eastAsia="方正楷体_GBK" w:cs="方正楷体_GBK" w:hint="eastAsia"/>
          <w:b/>
          <w:bCs/>
          <w:sz w:val="32"/>
          <w:szCs w:val="32"/>
        </w:rPr>
        <w:t>预算绩效情况说明</w:t>
      </w:r>
    </w:p>
    <w:p>
      <w:pPr>
        <w:autoSpaceDN w:val="0"/>
        <w:spacing w:line="560" w:lineRule="exact"/>
        <w:ind w:firstLineChars="200" w:firstLine="640"/>
        <w:rPr>
          <w:rFonts w:eastAsia="方正仿宋_GBK" w:cs="方正仿宋_GBK" w:hint="eastAsia"/>
          <w:kern w:val="0"/>
          <w:sz w:val="32"/>
          <w:szCs w:val="32"/>
        </w:rPr>
      </w:pPr>
      <w:r>
        <w:rPr>
          <w:rFonts w:eastAsia="方正仿宋_GBK" w:cs="方正仿宋_GBK" w:hint="eastAsia"/>
          <w:color w:val="auto"/>
          <w:kern w:val="0"/>
          <w:sz w:val="32"/>
          <w:szCs w:val="32"/>
          <w:lang w:eastAsia="zh-CN"/>
        </w:rPr>
        <w:t>额布都格</w:t>
      </w:r>
      <w:r>
        <w:rPr>
          <w:rFonts w:eastAsia="方正仿宋_GBK" w:cs="方正仿宋_GBK" w:hint="eastAsia"/>
          <w:color w:val="auto"/>
          <w:kern w:val="0"/>
          <w:sz w:val="32"/>
          <w:szCs w:val="32"/>
        </w:rPr>
        <w:t>海关</w:t>
      </w:r>
      <w:r>
        <w:rPr>
          <w:rFonts w:eastAsia="方正仿宋_GBK" w:cs="方正仿宋_GBK" w:hint="eastAsia"/>
          <w:kern w:val="0"/>
          <w:sz w:val="32"/>
          <w:szCs w:val="32"/>
        </w:rPr>
        <w:t>高度重视绩效自评工作，实现绩效自评全覆盖。202</w:t>
      </w:r>
      <w:r>
        <w:rPr>
          <w:rFonts w:eastAsia="方正仿宋_GBK" w:cs="方正仿宋_GBK" w:hint="eastAsia"/>
          <w:kern w:val="0"/>
          <w:sz w:val="32"/>
          <w:szCs w:val="32"/>
          <w:lang w:val="en-US" w:eastAsia="zh-CN"/>
        </w:rPr>
        <w:t>5</w:t>
      </w:r>
      <w:r>
        <w:rPr>
          <w:rFonts w:eastAsia="方正仿宋_GBK" w:cs="方正仿宋_GBK" w:hint="eastAsia"/>
          <w:kern w:val="0"/>
          <w:sz w:val="32"/>
          <w:szCs w:val="32"/>
        </w:rPr>
        <w:t>年，项目支出绩效自评共涵盖</w:t>
      </w:r>
      <w:r>
        <w:rPr>
          <w:rFonts w:eastAsia="方正仿宋_GBK" w:cs="方正仿宋_GBK" w:hint="eastAsia"/>
          <w:kern w:val="0"/>
          <w:sz w:val="32"/>
          <w:szCs w:val="32"/>
          <w:lang w:val="en-US" w:eastAsia="zh-CN"/>
        </w:rPr>
        <w:t>6</w:t>
      </w:r>
      <w:r>
        <w:rPr>
          <w:rFonts w:eastAsia="方正仿宋_GBK" w:cs="方正仿宋_GBK" w:hint="eastAsia"/>
          <w:kern w:val="0"/>
          <w:sz w:val="32"/>
          <w:szCs w:val="32"/>
        </w:rPr>
        <w:t>二级项目，预算金额总计</w:t>
      </w:r>
      <w:r>
        <w:rPr>
          <w:rFonts w:eastAsia="方正仿宋_GBK" w:cs="方正仿宋_GBK" w:hint="eastAsia"/>
          <w:kern w:val="0"/>
          <w:sz w:val="32"/>
          <w:szCs w:val="32"/>
          <w:lang w:val="en-US" w:eastAsia="zh-CN"/>
        </w:rPr>
        <w:t>147.18</w:t>
      </w:r>
      <w:r>
        <w:rPr>
          <w:rFonts w:eastAsia="方正仿宋_GBK" w:cs="方正仿宋_GBK" w:hint="eastAsia"/>
          <w:kern w:val="0"/>
          <w:sz w:val="32"/>
          <w:szCs w:val="32"/>
        </w:rPr>
        <w:t>万元。自评总分为100分的项目有</w:t>
      </w:r>
      <w:r>
        <w:rPr>
          <w:rFonts w:eastAsia="方正仿宋_GBK" w:cs="方正仿宋_GBK" w:hint="eastAsia"/>
          <w:kern w:val="0"/>
          <w:sz w:val="32"/>
          <w:szCs w:val="32"/>
          <w:lang w:val="en-US" w:eastAsia="zh-CN"/>
        </w:rPr>
        <w:t>5</w:t>
      </w:r>
      <w:r>
        <w:rPr>
          <w:rFonts w:eastAsia="方正仿宋_GBK" w:cs="方正仿宋_GBK" w:hint="eastAsia"/>
          <w:kern w:val="0"/>
          <w:sz w:val="32"/>
          <w:szCs w:val="32"/>
        </w:rPr>
        <w:t>个二级项目，占总项目的</w:t>
      </w:r>
      <w:r>
        <w:rPr>
          <w:rFonts w:eastAsia="方正仿宋_GBK" w:cs="方正仿宋_GBK" w:hint="eastAsia"/>
          <w:kern w:val="0"/>
          <w:sz w:val="32"/>
          <w:szCs w:val="32"/>
          <w:lang w:val="en-US" w:eastAsia="zh-CN"/>
        </w:rPr>
        <w:t>90</w:t>
      </w:r>
      <w:r>
        <w:rPr>
          <w:rFonts w:eastAsia="方正仿宋_GBK" w:cs="方正仿宋_GBK" w:hint="eastAsia"/>
          <w:kern w:val="0"/>
          <w:sz w:val="32"/>
          <w:szCs w:val="32"/>
        </w:rPr>
        <w:t>%；项目自评总分在90分（含90分）至100分之间的项目有</w:t>
      </w:r>
      <w:r>
        <w:rPr>
          <w:rFonts w:eastAsia="方正仿宋_GBK" w:cs="方正仿宋_GBK" w:hint="eastAsia"/>
          <w:kern w:val="0"/>
          <w:sz w:val="32"/>
          <w:szCs w:val="32"/>
          <w:lang w:val="en-US" w:eastAsia="zh-CN"/>
        </w:rPr>
        <w:t>1</w:t>
      </w:r>
      <w:r>
        <w:rPr>
          <w:rFonts w:eastAsia="方正仿宋_GBK" w:cs="方正仿宋_GBK" w:hint="eastAsia"/>
          <w:kern w:val="0"/>
          <w:sz w:val="32"/>
          <w:szCs w:val="32"/>
        </w:rPr>
        <w:t>个二级项目，占总项目的</w:t>
      </w:r>
      <w:r>
        <w:rPr>
          <w:rFonts w:eastAsia="方正仿宋_GBK" w:cs="方正仿宋_GBK" w:hint="eastAsia"/>
          <w:kern w:val="0"/>
          <w:sz w:val="32"/>
          <w:szCs w:val="32"/>
          <w:lang w:val="en-US" w:eastAsia="zh-CN"/>
        </w:rPr>
        <w:t>10</w:t>
      </w:r>
      <w:r>
        <w:rPr>
          <w:rFonts w:eastAsia="方正仿宋_GBK" w:cs="方正仿宋_GBK" w:hint="eastAsia"/>
          <w:kern w:val="0"/>
          <w:sz w:val="32"/>
          <w:szCs w:val="32"/>
        </w:rPr>
        <w:t>%。</w:t>
      </w:r>
    </w:p>
    <w:p>
      <w:pPr>
        <w:pStyle w:val="15"/>
        <w:rPr>
          <w:rFonts w:eastAsia="方正仿宋_GBK" w:cs="方正仿宋_GBK" w:hint="eastAsia"/>
          <w:kern w:val="0"/>
          <w:sz w:val="32"/>
          <w:szCs w:val="32"/>
        </w:rPr>
      </w:pPr>
    </w:p>
    <w:p>
      <w:pPr>
        <w:pStyle w:val="15"/>
        <w:rPr>
          <w:rFonts w:eastAsia="方正仿宋_GBK" w:cs="方正仿宋_GBK" w:hint="eastAsia"/>
          <w:kern w:val="0"/>
          <w:sz w:val="32"/>
          <w:szCs w:val="32"/>
        </w:rPr>
      </w:pPr>
    </w:p>
    <w:p>
      <w:pPr>
        <w:pStyle w:val="15"/>
        <w:rPr>
          <w:rFonts w:eastAsia="方正仿宋_GBK" w:cs="方正仿宋_GBK" w:hint="eastAsia"/>
          <w:kern w:val="0"/>
          <w:sz w:val="32"/>
          <w:szCs w:val="32"/>
        </w:rPr>
      </w:pPr>
    </w:p>
    <w:p>
      <w:pPr>
        <w:pStyle w:val="15"/>
        <w:rPr>
          <w:rFonts w:eastAsia="方正仿宋_GBK" w:cs="方正仿宋_GBK" w:hint="eastAsia"/>
          <w:kern w:val="0"/>
          <w:sz w:val="32"/>
          <w:szCs w:val="32"/>
        </w:rPr>
      </w:pPr>
    </w:p>
    <w:p>
      <w:pPr>
        <w:pStyle w:val="15"/>
        <w:rPr>
          <w:rFonts w:eastAsia="方正仿宋_GBK" w:cs="方正仿宋_GBK" w:hint="eastAsia"/>
          <w:kern w:val="0"/>
          <w:sz w:val="32"/>
          <w:szCs w:val="32"/>
        </w:rPr>
      </w:pPr>
    </w:p>
    <w:p>
      <w:pPr>
        <w:pStyle w:val="15"/>
        <w:rPr>
          <w:rFonts w:eastAsia="方正仿宋_GBK" w:cs="方正仿宋_GBK" w:hint="eastAsia"/>
          <w:kern w:val="0"/>
          <w:sz w:val="32"/>
          <w:szCs w:val="32"/>
        </w:rPr>
      </w:pPr>
    </w:p>
    <w:p>
      <w:pPr>
        <w:pStyle w:val="15"/>
        <w:rPr>
          <w:rFonts w:eastAsia="方正仿宋_GBK" w:cs="方正仿宋_GBK" w:hint="eastAsia"/>
          <w:kern w:val="0"/>
          <w:sz w:val="32"/>
          <w:szCs w:val="32"/>
        </w:rPr>
      </w:pPr>
    </w:p>
    <w:p>
      <w:pPr>
        <w:pStyle w:val="15"/>
        <w:rPr>
          <w:rFonts w:eastAsia="方正仿宋_GBK" w:cs="方正仿宋_GBK" w:hint="eastAsia"/>
          <w:kern w:val="0"/>
          <w:sz w:val="32"/>
          <w:szCs w:val="32"/>
        </w:rPr>
      </w:pPr>
    </w:p>
    <w:p>
      <w:pPr>
        <w:pStyle w:val="15"/>
        <w:rPr>
          <w:rFonts w:eastAsia="方正仿宋_GBK" w:cs="方正仿宋_GBK" w:hint="eastAsia"/>
          <w:kern w:val="0"/>
          <w:sz w:val="32"/>
          <w:szCs w:val="32"/>
        </w:rPr>
      </w:pPr>
    </w:p>
    <w:p>
      <w:pPr>
        <w:pStyle w:val="15"/>
        <w:rPr>
          <w:rFonts w:eastAsia="方正仿宋_GBK" w:cs="方正仿宋_GBK" w:hint="eastAsia"/>
          <w:kern w:val="0"/>
          <w:sz w:val="32"/>
          <w:szCs w:val="32"/>
        </w:rPr>
      </w:pPr>
    </w:p>
    <w:p>
      <w:pPr>
        <w:pStyle w:val="15"/>
        <w:rPr>
          <w:rFonts w:eastAsia="方正仿宋_GBK" w:cs="方正仿宋_GBK" w:hint="eastAsia"/>
          <w:kern w:val="0"/>
          <w:sz w:val="32"/>
          <w:szCs w:val="32"/>
        </w:rPr>
      </w:pPr>
    </w:p>
    <w:p>
      <w:pPr>
        <w:autoSpaceDN w:val="0"/>
        <w:spacing w:line="560" w:lineRule="exact"/>
        <w:ind w:firstLineChars="200" w:firstLine="640"/>
        <w:rPr>
          <w:rFonts w:eastAsia="方正黑体_GBK" w:cs="方正黑体_GBK" w:hint="eastAsia"/>
          <w:sz w:val="32"/>
          <w:szCs w:val="32"/>
        </w:rPr>
      </w:pPr>
    </w:p>
    <w:p>
      <w:pPr>
        <w:autoSpaceDN w:val="0"/>
        <w:spacing w:line="560" w:lineRule="exact"/>
        <w:ind w:firstLineChars="200" w:firstLine="640"/>
        <w:rPr>
          <w:rFonts w:eastAsia="方正黑体_GBK" w:cs="方正黑体_GBK" w:hint="eastAsia"/>
          <w:sz w:val="32"/>
          <w:szCs w:val="32"/>
        </w:rPr>
      </w:pPr>
    </w:p>
    <w:p>
      <w:pPr>
        <w:autoSpaceDN w:val="0"/>
        <w:spacing w:line="560" w:lineRule="exact"/>
        <w:ind w:firstLineChars="200" w:firstLine="640"/>
        <w:rPr>
          <w:rFonts w:eastAsia="方正黑体_GBK" w:cs="方正黑体_GBK" w:hint="eastAsia"/>
          <w:sz w:val="32"/>
          <w:szCs w:val="32"/>
        </w:rPr>
      </w:pPr>
    </w:p>
    <w:p>
      <w:pPr>
        <w:autoSpaceDN w:val="0"/>
        <w:spacing w:line="560" w:lineRule="exact"/>
        <w:ind w:firstLineChars="200" w:firstLine="640"/>
        <w:rPr>
          <w:rFonts w:eastAsia="方正黑体_GBK" w:cs="方正黑体_GBK" w:hint="eastAsia"/>
          <w:sz w:val="32"/>
          <w:szCs w:val="32"/>
        </w:rPr>
      </w:pPr>
    </w:p>
    <w:p>
      <w:pPr>
        <w:autoSpaceDN w:val="0"/>
        <w:spacing w:line="560" w:lineRule="exact"/>
        <w:ind w:firstLineChars="200" w:firstLine="640"/>
        <w:rPr>
          <w:rFonts w:eastAsia="方正黑体_GBK" w:cs="方正黑体_GBK" w:hint="eastAsia"/>
          <w:sz w:val="32"/>
          <w:szCs w:val="32"/>
        </w:rPr>
      </w:pPr>
    </w:p>
    <w:p>
      <w:pPr>
        <w:autoSpaceDN w:val="0"/>
        <w:spacing w:line="560" w:lineRule="exact"/>
        <w:ind w:firstLineChars="200" w:firstLine="640"/>
        <w:rPr>
          <w:rFonts w:eastAsia="方正黑体_GBK" w:cs="方正黑体_GBK" w:hint="eastAsia"/>
          <w:sz w:val="32"/>
          <w:szCs w:val="32"/>
        </w:rPr>
      </w:pPr>
    </w:p>
    <w:p>
      <w:pPr>
        <w:autoSpaceDN w:val="0"/>
        <w:spacing w:line="560" w:lineRule="exact"/>
        <w:ind w:firstLineChars="200" w:firstLine="640"/>
        <w:rPr>
          <w:rFonts w:eastAsia="方正黑体_GBK" w:cs="方正黑体_GBK" w:hint="eastAsia"/>
          <w:sz w:val="32"/>
          <w:szCs w:val="32"/>
        </w:rPr>
      </w:pPr>
    </w:p>
    <w:p>
      <w:pPr>
        <w:autoSpaceDN w:val="0"/>
        <w:spacing w:line="560" w:lineRule="exact"/>
        <w:ind w:firstLineChars="400" w:firstLine="2080"/>
        <w:rPr>
          <w:rFonts w:eastAsia="方正黑体_GBK" w:cs="方正黑体_GBK"/>
          <w:sz w:val="52"/>
          <w:szCs w:val="52"/>
          <w:lang w:eastAsia="zh-CN"/>
        </w:rPr>
      </w:pPr>
    </w:p>
    <w:p>
      <w:pPr>
        <w:autoSpaceDN w:val="0"/>
        <w:spacing w:line="560" w:lineRule="exact"/>
        <w:ind w:firstLineChars="400" w:firstLine="2080"/>
        <w:rPr>
          <w:rFonts w:eastAsia="方正黑体_GBK" w:cs="方正黑体_GBK"/>
          <w:sz w:val="52"/>
          <w:szCs w:val="52"/>
          <w:lang w:eastAsia="zh-CN"/>
        </w:rPr>
      </w:pPr>
    </w:p>
    <w:p>
      <w:pPr>
        <w:autoSpaceDN w:val="0"/>
        <w:spacing w:line="560" w:lineRule="exact"/>
        <w:ind w:firstLineChars="400" w:firstLine="2080"/>
        <w:rPr>
          <w:rFonts w:eastAsia="方正黑体_GBK" w:cs="方正黑体_GBK"/>
          <w:sz w:val="52"/>
          <w:szCs w:val="52"/>
          <w:lang w:eastAsia="zh-CN"/>
        </w:rPr>
      </w:pPr>
    </w:p>
    <w:p>
      <w:pPr>
        <w:autoSpaceDN w:val="0"/>
        <w:spacing w:line="560" w:lineRule="exact"/>
        <w:ind w:firstLineChars="400" w:firstLine="2080"/>
        <w:rPr>
          <w:rFonts w:eastAsia="方正黑体_GBK" w:cs="方正黑体_GBK"/>
          <w:sz w:val="52"/>
          <w:szCs w:val="52"/>
          <w:lang w:eastAsia="zh-CN"/>
        </w:rPr>
      </w:pPr>
    </w:p>
    <w:p>
      <w:pPr>
        <w:autoSpaceDN w:val="0"/>
        <w:spacing w:line="560" w:lineRule="exact"/>
        <w:ind w:firstLineChars="400" w:firstLine="2080"/>
        <w:rPr>
          <w:rFonts w:eastAsia="方正黑体_GBK" w:cs="方正黑体_GBK" w:hint="eastAsia"/>
          <w:sz w:val="52"/>
          <w:szCs w:val="52"/>
        </w:rPr>
      </w:pPr>
      <w:r>
        <w:rPr>
          <w:rFonts w:eastAsia="方正黑体_GBK" w:cs="方正黑体_GBK" w:hint="eastAsia"/>
          <w:sz w:val="52"/>
          <w:szCs w:val="52"/>
          <w:lang w:eastAsia="zh-CN"/>
        </w:rPr>
        <w:t>第四部分</w:t>
      </w:r>
      <w:r>
        <w:rPr>
          <w:rFonts w:eastAsia="方正黑体_GBK" w:cs="方正黑体_GBK" w:hint="eastAsia"/>
          <w:sz w:val="52"/>
          <w:szCs w:val="52"/>
          <w:lang w:val="en-US" w:eastAsia="zh-CN"/>
        </w:rPr>
        <w:t xml:space="preserve">   </w:t>
      </w:r>
      <w:r>
        <w:rPr>
          <w:rFonts w:eastAsia="方正黑体_GBK" w:cs="方正黑体_GBK" w:hint="eastAsia"/>
          <w:sz w:val="52"/>
          <w:szCs w:val="52"/>
        </w:rPr>
        <w:t>名词解释</w:t>
      </w:r>
    </w:p>
    <w:p>
      <w:pPr>
        <w:autoSpaceDN w:val="0"/>
        <w:spacing w:line="560" w:lineRule="exact"/>
        <w:ind w:firstLineChars="200" w:firstLine="640"/>
        <w:rPr>
          <w:rFonts w:eastAsia="方正楷体_GBK" w:cs="方正楷体_GBK"/>
          <w:b/>
          <w:bCs/>
          <w:sz w:val="32"/>
          <w:szCs w:val="32"/>
        </w:rPr>
      </w:pPr>
    </w:p>
    <w:p>
      <w:pPr>
        <w:autoSpaceDN w:val="0"/>
        <w:spacing w:line="560" w:lineRule="exact"/>
        <w:ind w:firstLineChars="200" w:firstLine="640"/>
        <w:rPr>
          <w:rFonts w:eastAsia="方正仿宋_GBK"/>
          <w:sz w:val="32"/>
          <w:szCs w:val="32"/>
        </w:rPr>
      </w:pPr>
      <w:r>
        <w:rPr>
          <w:rFonts w:eastAsia="方正楷体_GBK" w:cs="方正楷体_GBK" w:hint="eastAsia"/>
          <w:b/>
          <w:bCs/>
          <w:sz w:val="32"/>
          <w:szCs w:val="32"/>
        </w:rPr>
        <w:t>（一）一般公共预算财政拨款收入：</w:t>
      </w:r>
      <w:r>
        <w:rPr>
          <w:rFonts w:eastAsia="方正仿宋_GBK" w:cs="方正仿宋_GBK" w:hint="eastAsia"/>
          <w:sz w:val="32"/>
          <w:szCs w:val="32"/>
        </w:rPr>
        <w:t>指中央财政当年拨付的资金。</w:t>
      </w:r>
    </w:p>
    <w:p>
      <w:pPr>
        <w:autoSpaceDN w:val="0"/>
        <w:spacing w:line="560" w:lineRule="exact"/>
        <w:ind w:firstLineChars="200" w:firstLine="640"/>
        <w:rPr>
          <w:rFonts w:eastAsia="方正仿宋_GBK"/>
          <w:sz w:val="32"/>
          <w:szCs w:val="32"/>
        </w:rPr>
      </w:pPr>
      <w:r>
        <w:rPr>
          <w:rFonts w:eastAsia="方正楷体_GBK" w:cs="方正楷体_GBK" w:hint="eastAsia"/>
          <w:b/>
          <w:bCs/>
          <w:sz w:val="32"/>
          <w:szCs w:val="32"/>
        </w:rPr>
        <w:t>（二）事业收入：</w:t>
      </w:r>
      <w:r>
        <w:rPr>
          <w:rFonts w:eastAsia="方正仿宋_GBK" w:cs="方正仿宋_GBK" w:hint="eastAsia"/>
          <w:sz w:val="32"/>
          <w:szCs w:val="32"/>
        </w:rPr>
        <w:t>指事业单位开展专业业务活动及辅助活动所取得的收入。</w:t>
      </w:r>
    </w:p>
    <w:p>
      <w:pPr>
        <w:autoSpaceDN w:val="0"/>
        <w:spacing w:line="560" w:lineRule="exact"/>
        <w:ind w:firstLineChars="200" w:firstLine="640"/>
        <w:rPr>
          <w:rFonts w:eastAsia="方正仿宋_GBK"/>
          <w:sz w:val="32"/>
          <w:szCs w:val="32"/>
        </w:rPr>
      </w:pPr>
      <w:r>
        <w:rPr>
          <w:rFonts w:eastAsia="方正楷体_GBK" w:cs="方正楷体_GBK" w:hint="eastAsia"/>
          <w:b/>
          <w:bCs/>
          <w:sz w:val="32"/>
          <w:szCs w:val="32"/>
        </w:rPr>
        <w:t>（三）经营收入：</w:t>
      </w:r>
      <w:r>
        <w:rPr>
          <w:rFonts w:eastAsia="方正仿宋_GBK" w:cs="方正仿宋_GBK" w:hint="eastAsia"/>
          <w:sz w:val="32"/>
          <w:szCs w:val="32"/>
        </w:rPr>
        <w:t>指事业单位在专业业务活动及其辅助活动之外开展非独立核算经营活动取得的收入。</w:t>
      </w:r>
    </w:p>
    <w:p>
      <w:pPr>
        <w:autoSpaceDN w:val="0"/>
        <w:spacing w:line="560" w:lineRule="exact"/>
        <w:ind w:firstLineChars="200" w:firstLine="640"/>
        <w:rPr>
          <w:rFonts w:eastAsia="方正仿宋_GBK"/>
          <w:sz w:val="32"/>
          <w:szCs w:val="32"/>
        </w:rPr>
      </w:pPr>
      <w:r>
        <w:rPr>
          <w:rFonts w:eastAsia="方正楷体_GBK" w:cs="方正楷体_GBK" w:hint="eastAsia"/>
          <w:b/>
          <w:bCs/>
          <w:sz w:val="32"/>
          <w:szCs w:val="32"/>
        </w:rPr>
        <w:t>（四）其他收入：</w:t>
      </w:r>
      <w:r>
        <w:rPr>
          <w:rFonts w:eastAsia="方正仿宋_GBK" w:cs="方正仿宋_GBK" w:hint="eastAsia"/>
          <w:sz w:val="32"/>
          <w:szCs w:val="32"/>
        </w:rPr>
        <w:t>指除上述一般公共预算财政拨款收入、事业收入、事业单位经营收入等以外的收入。主要是非同级财政拨款收入、存款利息收入等。</w:t>
      </w:r>
    </w:p>
    <w:p>
      <w:pPr>
        <w:autoSpaceDN w:val="0"/>
        <w:spacing w:line="560" w:lineRule="exact"/>
        <w:ind w:firstLineChars="200" w:firstLine="640"/>
        <w:rPr>
          <w:rFonts w:ascii="方正仿宋_GBK" w:eastAsia="方正仿宋_GBK"/>
          <w:sz w:val="32"/>
          <w:szCs w:val="32"/>
        </w:rPr>
      </w:pPr>
      <w:r>
        <w:rPr>
          <w:rFonts w:eastAsia="方正楷体_GBK" w:cs="方正楷体_GBK" w:hint="eastAsia"/>
          <w:b/>
          <w:bCs/>
          <w:sz w:val="32"/>
          <w:szCs w:val="32"/>
        </w:rPr>
        <w:t>（五）使用非财政拨款结余（含专用结余）：</w:t>
      </w:r>
      <w:r>
        <w:rPr>
          <w:rFonts w:ascii="方正仿宋_GBK" w:eastAsia="方正仿宋_GBK" w:cs="方正仿宋_GBK" w:hint="eastAsia"/>
          <w:sz w:val="32"/>
          <w:szCs w:val="32"/>
        </w:rPr>
        <w:t>指事业单位按照预算管理要求使用非财政拨款结余弥补收支差额的金额，以及使用专用结余安排支出的金额。</w:t>
      </w:r>
    </w:p>
    <w:p>
      <w:pPr>
        <w:autoSpaceDN w:val="0"/>
        <w:spacing w:line="560" w:lineRule="exact"/>
        <w:ind w:firstLineChars="200" w:firstLine="640"/>
        <w:rPr>
          <w:rFonts w:eastAsia="方正仿宋_GBK"/>
          <w:sz w:val="32"/>
          <w:szCs w:val="32"/>
        </w:rPr>
      </w:pPr>
      <w:r>
        <w:rPr>
          <w:rFonts w:eastAsia="方正楷体_GBK" w:cs="方正楷体_GBK" w:hint="eastAsia"/>
          <w:b/>
          <w:bCs/>
          <w:sz w:val="32"/>
          <w:szCs w:val="32"/>
        </w:rPr>
        <w:t>（六）年初结转和结余：</w:t>
      </w:r>
      <w:r>
        <w:rPr>
          <w:rFonts w:eastAsia="方正仿宋_GBK" w:cs="方正仿宋_GBK" w:hint="eastAsia"/>
          <w:sz w:val="32"/>
          <w:szCs w:val="32"/>
        </w:rPr>
        <w:t>指单位以前年度尚未完成、结转到本年仍按原规定用途继续使用的资金，或项目已完成等产生的结余资金。</w:t>
      </w:r>
    </w:p>
    <w:p>
      <w:pPr>
        <w:autoSpaceDN w:val="0"/>
        <w:spacing w:line="560" w:lineRule="exact"/>
        <w:ind w:firstLineChars="200" w:firstLine="640"/>
      </w:pPr>
      <w:r>
        <w:rPr>
          <w:rFonts w:eastAsia="方正楷体_GBK" w:cs="方正楷体_GBK" w:hint="eastAsia"/>
          <w:b/>
          <w:bCs/>
          <w:sz w:val="32"/>
          <w:szCs w:val="32"/>
        </w:rPr>
        <w:t>（七）一般公共服务（类）海关事务（款）：</w:t>
      </w:r>
      <w:r>
        <w:rPr>
          <w:rFonts w:eastAsia="方正仿宋_GBK" w:cs="方正仿宋_GBK" w:hint="eastAsia"/>
          <w:sz w:val="32"/>
          <w:szCs w:val="32"/>
        </w:rPr>
        <w:t>反映海关用于系统行政和事业单位的基本支出及完成专项业务工作的项目支出。</w:t>
      </w:r>
    </w:p>
    <w:p>
      <w:pPr>
        <w:autoSpaceDN w:val="0"/>
        <w:spacing w:line="560" w:lineRule="exact"/>
        <w:ind w:firstLineChars="200" w:firstLine="640"/>
        <w:rPr>
          <w:rFonts w:eastAsia="方正仿宋_GBK"/>
          <w:b/>
          <w:bCs/>
          <w:sz w:val="32"/>
          <w:szCs w:val="32"/>
        </w:rPr>
      </w:pPr>
      <w:r>
        <w:rPr>
          <w:rFonts w:eastAsia="方正仿宋_GBK" w:cs="方正仿宋_GBK" w:hint="eastAsia"/>
          <w:b/>
          <w:bCs/>
          <w:sz w:val="32"/>
          <w:szCs w:val="32"/>
        </w:rPr>
        <w:t>行政运行（项）</w:t>
      </w:r>
      <w:r>
        <w:rPr>
          <w:rFonts w:eastAsia="方正仿宋_GBK" w:cs="方正仿宋_GBK" w:hint="eastAsia"/>
          <w:sz w:val="32"/>
          <w:szCs w:val="32"/>
        </w:rPr>
        <w:t>反映海关系统（包括参照公务员管理的事业单位）的基本支出。</w:t>
      </w:r>
    </w:p>
    <w:p>
      <w:pPr>
        <w:autoSpaceDN w:val="0"/>
        <w:spacing w:line="560" w:lineRule="exact"/>
        <w:ind w:firstLineChars="200" w:firstLine="640"/>
        <w:rPr>
          <w:rFonts w:eastAsia="方正仿宋_GBK"/>
          <w:b/>
          <w:bCs/>
          <w:sz w:val="32"/>
          <w:szCs w:val="32"/>
        </w:rPr>
      </w:pPr>
      <w:r>
        <w:rPr>
          <w:rFonts w:eastAsia="方正仿宋_GBK" w:cs="方正仿宋_GBK" w:hint="eastAsia"/>
          <w:b/>
          <w:bCs/>
          <w:sz w:val="32"/>
          <w:szCs w:val="32"/>
        </w:rPr>
        <w:t>一般行政管理事务（项）</w:t>
      </w:r>
      <w:r>
        <w:rPr>
          <w:rFonts w:eastAsia="方正仿宋_GBK" w:cs="方正仿宋_GBK" w:hint="eastAsia"/>
          <w:sz w:val="32"/>
          <w:szCs w:val="32"/>
        </w:rPr>
        <w:t>反映海关系统（包括参照公务员管理的事业单位）未单独设置项级科目的其他项目支出。</w:t>
      </w:r>
    </w:p>
    <w:p>
      <w:pPr>
        <w:autoSpaceDN w:val="0"/>
        <w:spacing w:line="560" w:lineRule="exact"/>
        <w:ind w:firstLineChars="200" w:firstLine="640"/>
      </w:pPr>
      <w:r>
        <w:rPr>
          <w:rFonts w:eastAsia="方正仿宋_GBK" w:cs="方正仿宋_GBK" w:hint="eastAsia"/>
          <w:b/>
          <w:bCs/>
          <w:sz w:val="32"/>
          <w:szCs w:val="32"/>
        </w:rPr>
        <w:t>机关服务（项）</w:t>
      </w:r>
      <w:r>
        <w:rPr>
          <w:rFonts w:eastAsia="方正仿宋_GBK" w:cs="方正仿宋_GBK" w:hint="eastAsia"/>
          <w:sz w:val="32"/>
          <w:szCs w:val="32"/>
        </w:rPr>
        <w:t>反映海关系统为行政单位（包括参照公务员管理的事业单位）提供后勤服务的各类后勤服务中心等附属事业单位的支出。</w:t>
      </w:r>
    </w:p>
    <w:p>
      <w:pPr>
        <w:autoSpaceDN w:val="0"/>
        <w:spacing w:line="560" w:lineRule="exact"/>
        <w:ind w:firstLineChars="200" w:firstLine="640"/>
        <w:rPr>
          <w:rFonts w:eastAsia="方正仿宋_GBK"/>
          <w:sz w:val="32"/>
          <w:szCs w:val="32"/>
        </w:rPr>
      </w:pPr>
      <w:r>
        <w:rPr>
          <w:rFonts w:eastAsia="方正仿宋_GBK" w:cs="方正仿宋_GBK" w:hint="eastAsia"/>
          <w:b/>
          <w:bCs/>
          <w:sz w:val="32"/>
          <w:szCs w:val="32"/>
        </w:rPr>
        <w:t>缉私办案（项）</w:t>
      </w:r>
      <w:r>
        <w:rPr>
          <w:rFonts w:eastAsia="方正仿宋_GBK" w:cs="方正仿宋_GBK" w:hint="eastAsia"/>
          <w:sz w:val="32"/>
          <w:szCs w:val="32"/>
        </w:rPr>
        <w:t>反映海关系统用于缉私办案方面的支出。</w:t>
      </w:r>
    </w:p>
    <w:p>
      <w:pPr>
        <w:autoSpaceDN w:val="0"/>
        <w:spacing w:line="560" w:lineRule="exact"/>
        <w:ind w:firstLineChars="200" w:firstLine="640"/>
      </w:pPr>
      <w:r>
        <w:rPr>
          <w:rFonts w:eastAsia="方正仿宋_GBK" w:cs="方正仿宋_GBK" w:hint="eastAsia"/>
          <w:b/>
          <w:bCs/>
          <w:sz w:val="32"/>
          <w:szCs w:val="32"/>
        </w:rPr>
        <w:t>口岸管理（项）</w:t>
      </w:r>
      <w:r>
        <w:rPr>
          <w:rFonts w:eastAsia="方正仿宋_GBK" w:cs="方正仿宋_GBK" w:hint="eastAsia"/>
          <w:sz w:val="32"/>
          <w:szCs w:val="32"/>
        </w:rPr>
        <w:t>反映口岸工作经费及中国电子口岸建设运维支出。</w:t>
      </w:r>
    </w:p>
    <w:p>
      <w:pPr>
        <w:autoSpaceDN w:val="0"/>
        <w:spacing w:line="560" w:lineRule="exact"/>
        <w:ind w:firstLineChars="200" w:firstLine="640"/>
        <w:rPr>
          <w:rFonts w:eastAsia="方正仿宋_GBK"/>
          <w:sz w:val="32"/>
          <w:szCs w:val="32"/>
        </w:rPr>
      </w:pPr>
      <w:r>
        <w:rPr>
          <w:rFonts w:eastAsia="方正仿宋_GBK" w:cs="方正仿宋_GBK" w:hint="eastAsia"/>
          <w:b/>
          <w:bCs/>
          <w:sz w:val="32"/>
          <w:szCs w:val="32"/>
        </w:rPr>
        <w:t>信息化建设（项）</w:t>
      </w:r>
      <w:r>
        <w:rPr>
          <w:rFonts w:eastAsia="方正仿宋_GBK" w:cs="方正仿宋_GBK" w:hint="eastAsia"/>
          <w:sz w:val="32"/>
          <w:szCs w:val="32"/>
        </w:rPr>
        <w:t>反映海关系统用于海关科技信息化建设、海关信息系统运行维护等方面的支出。</w:t>
      </w:r>
    </w:p>
    <w:p>
      <w:pPr>
        <w:autoSpaceDN w:val="0"/>
        <w:spacing w:line="560" w:lineRule="exact"/>
        <w:ind w:firstLineChars="200" w:firstLine="640"/>
        <w:rPr>
          <w:rFonts w:eastAsia="方正仿宋_GBK"/>
          <w:sz w:val="32"/>
          <w:szCs w:val="32"/>
        </w:rPr>
      </w:pPr>
      <w:r>
        <w:rPr>
          <w:rFonts w:eastAsia="方正仿宋_GBK" w:cs="方正仿宋_GBK" w:hint="eastAsia"/>
          <w:b/>
          <w:bCs/>
          <w:sz w:val="32"/>
          <w:szCs w:val="32"/>
        </w:rPr>
        <w:t>海关关务（项）：</w:t>
      </w:r>
      <w:r>
        <w:rPr>
          <w:rFonts w:eastAsia="方正仿宋_GBK" w:cs="方正仿宋_GBK" w:hint="eastAsia"/>
          <w:sz w:val="32"/>
          <w:szCs w:val="32"/>
        </w:rPr>
        <w:t>反映海关现场综合业务费、基本建设和资产运行维护方面的支出。</w:t>
      </w:r>
    </w:p>
    <w:p>
      <w:pPr>
        <w:autoSpaceDN w:val="0"/>
        <w:spacing w:line="560" w:lineRule="exact"/>
        <w:ind w:firstLineChars="200" w:firstLine="640"/>
        <w:rPr>
          <w:rFonts w:eastAsia="方正仿宋_GBK"/>
          <w:sz w:val="32"/>
          <w:szCs w:val="32"/>
        </w:rPr>
      </w:pPr>
      <w:r>
        <w:rPr>
          <w:rFonts w:eastAsia="方正仿宋_GBK" w:cs="方正仿宋_GBK" w:hint="eastAsia"/>
          <w:b/>
          <w:bCs/>
          <w:sz w:val="32"/>
          <w:szCs w:val="32"/>
        </w:rPr>
        <w:t>关税征管（项）：</w:t>
      </w:r>
      <w:r>
        <w:rPr>
          <w:rFonts w:eastAsia="方正仿宋_GBK" w:cs="方正仿宋_GBK" w:hint="eastAsia"/>
          <w:sz w:val="32"/>
          <w:szCs w:val="32"/>
        </w:rPr>
        <w:t>反映海关系统用于海关关税征管业务的支出。</w:t>
      </w:r>
    </w:p>
    <w:p>
      <w:pPr>
        <w:autoSpaceDN w:val="0"/>
        <w:spacing w:line="560" w:lineRule="exact"/>
        <w:ind w:firstLineChars="200" w:firstLine="640"/>
        <w:rPr>
          <w:rFonts w:eastAsia="方正仿宋_GBK"/>
          <w:sz w:val="32"/>
          <w:szCs w:val="32"/>
        </w:rPr>
      </w:pPr>
      <w:r>
        <w:rPr>
          <w:rFonts w:eastAsia="方正仿宋_GBK" w:cs="方正仿宋_GBK" w:hint="eastAsia"/>
          <w:b/>
          <w:bCs/>
          <w:sz w:val="32"/>
          <w:szCs w:val="32"/>
        </w:rPr>
        <w:t>海关监管（项）：</w:t>
      </w:r>
      <w:r>
        <w:rPr>
          <w:rFonts w:eastAsia="方正仿宋_GBK" w:cs="方正仿宋_GBK" w:hint="eastAsia"/>
          <w:sz w:val="32"/>
          <w:szCs w:val="32"/>
        </w:rPr>
        <w:t>反映海关系统用于海关监管查验技术设备购建及运维的支出。</w:t>
      </w:r>
    </w:p>
    <w:p>
      <w:pPr>
        <w:autoSpaceDN w:val="0"/>
        <w:spacing w:line="560" w:lineRule="exact"/>
        <w:ind w:firstLineChars="200" w:firstLine="640"/>
        <w:rPr>
          <w:rFonts w:eastAsia="方正仿宋_GBK"/>
          <w:sz w:val="32"/>
          <w:szCs w:val="32"/>
        </w:rPr>
      </w:pPr>
      <w:r>
        <w:rPr>
          <w:rFonts w:eastAsia="方正仿宋_GBK" w:cs="方正仿宋_GBK" w:hint="eastAsia"/>
          <w:b/>
          <w:bCs/>
          <w:sz w:val="32"/>
          <w:szCs w:val="32"/>
        </w:rPr>
        <w:t>检验检疫（项）：</w:t>
      </w:r>
      <w:r>
        <w:rPr>
          <w:rFonts w:eastAsia="方正仿宋_GBK" w:cs="方正仿宋_GBK" w:hint="eastAsia"/>
          <w:sz w:val="32"/>
          <w:szCs w:val="32"/>
        </w:rPr>
        <w:t>反映海关系统用于检验检疫执法保障及能力提升、检验检疫安全监管、认证认可监督管理支出。</w:t>
      </w:r>
    </w:p>
    <w:p>
      <w:pPr>
        <w:autoSpaceDN w:val="0"/>
        <w:spacing w:line="560" w:lineRule="exact"/>
        <w:ind w:firstLineChars="200" w:firstLine="640"/>
        <w:rPr>
          <w:rFonts w:eastAsia="方正仿宋_GBK"/>
          <w:sz w:val="32"/>
          <w:szCs w:val="32"/>
        </w:rPr>
      </w:pPr>
      <w:r>
        <w:rPr>
          <w:rFonts w:eastAsia="方正仿宋_GBK" w:cs="方正仿宋_GBK" w:hint="eastAsia"/>
          <w:b/>
          <w:bCs/>
          <w:sz w:val="32"/>
          <w:szCs w:val="32"/>
        </w:rPr>
        <w:t>事业运行（项）</w:t>
      </w:r>
      <w:r>
        <w:rPr>
          <w:rFonts w:eastAsia="方正仿宋_GBK" w:cs="方正仿宋_GBK" w:hint="eastAsia"/>
          <w:sz w:val="32"/>
          <w:szCs w:val="32"/>
        </w:rPr>
        <w:t>反映海关事业单位的基本支出，不包括行政单位（包括参照公务员管理的事业单位）后勤服务中心等附属事业单位。</w:t>
      </w:r>
    </w:p>
    <w:p>
      <w:pPr>
        <w:autoSpaceDN w:val="0"/>
        <w:spacing w:line="560" w:lineRule="exact"/>
        <w:ind w:firstLineChars="200" w:firstLine="640"/>
        <w:rPr>
          <w:rFonts w:eastAsia="方正仿宋_GBK"/>
          <w:sz w:val="32"/>
          <w:szCs w:val="32"/>
        </w:rPr>
      </w:pPr>
      <w:r>
        <w:rPr>
          <w:rFonts w:eastAsia="方正仿宋_GBK" w:cs="方正仿宋_GBK" w:hint="eastAsia"/>
          <w:b/>
          <w:bCs/>
          <w:sz w:val="32"/>
          <w:szCs w:val="32"/>
        </w:rPr>
        <w:t>其他海关事务支出（项）</w:t>
      </w:r>
      <w:r>
        <w:rPr>
          <w:rFonts w:eastAsia="方正仿宋_GBK" w:cs="方正仿宋_GBK" w:hint="eastAsia"/>
          <w:sz w:val="32"/>
          <w:szCs w:val="32"/>
        </w:rPr>
        <w:t>反映除上述项目以外其他海关事务方面的支出。</w:t>
      </w:r>
    </w:p>
    <w:p>
      <w:pPr>
        <w:autoSpaceDN w:val="0"/>
        <w:spacing w:line="560" w:lineRule="exact"/>
        <w:ind w:firstLineChars="200" w:firstLine="640"/>
        <w:rPr>
          <w:rFonts w:eastAsia="方正楷体_GBK"/>
          <w:b/>
          <w:bCs/>
          <w:sz w:val="32"/>
          <w:szCs w:val="32"/>
        </w:rPr>
      </w:pPr>
      <w:r>
        <w:rPr>
          <w:rFonts w:eastAsia="方正楷体_GBK" w:cs="方正楷体_GBK" w:hint="eastAsia"/>
          <w:b/>
          <w:bCs/>
          <w:sz w:val="32"/>
          <w:szCs w:val="32"/>
        </w:rPr>
        <w:t>（八）一般公共服务（类）人力资源事务（款）政府特殊津贴（项）：</w:t>
      </w:r>
      <w:r>
        <w:rPr>
          <w:rFonts w:eastAsia="方正仿宋_GBK" w:cs="方正仿宋_GBK" w:hint="eastAsia"/>
          <w:sz w:val="32"/>
          <w:szCs w:val="32"/>
        </w:rPr>
        <w:t>反映海关与政府特殊津贴相关的支出。</w:t>
      </w:r>
    </w:p>
    <w:p>
      <w:pPr>
        <w:autoSpaceDN w:val="0"/>
        <w:spacing w:line="560" w:lineRule="exact"/>
        <w:ind w:firstLineChars="200" w:firstLine="640"/>
        <w:rPr>
          <w:rFonts w:eastAsia="方正仿宋_GBK"/>
          <w:sz w:val="32"/>
          <w:szCs w:val="32"/>
        </w:rPr>
      </w:pPr>
      <w:r>
        <w:rPr>
          <w:rFonts w:eastAsia="方正楷体_GBK" w:cs="方正楷体_GBK" w:hint="eastAsia"/>
          <w:b/>
          <w:bCs/>
          <w:sz w:val="32"/>
          <w:szCs w:val="32"/>
        </w:rPr>
        <w:t>（九）一般公共服务（类）纪检监察事务（款）派驻派出机构（项）：</w:t>
      </w:r>
      <w:r>
        <w:rPr>
          <w:rFonts w:eastAsia="方正仿宋_GBK" w:cs="方正仿宋_GBK" w:hint="eastAsia"/>
          <w:sz w:val="32"/>
          <w:szCs w:val="32"/>
        </w:rPr>
        <w:t>反映中央纪委国家监委驻海关总署开展工作的专项业务支出。</w:t>
      </w:r>
    </w:p>
    <w:p>
      <w:pPr>
        <w:autoSpaceDN w:val="0"/>
        <w:spacing w:line="560" w:lineRule="exact"/>
        <w:ind w:firstLineChars="200" w:firstLine="640"/>
        <w:rPr>
          <w:rFonts w:eastAsia="方正楷体_GBK"/>
          <w:b/>
          <w:bCs/>
          <w:sz w:val="32"/>
          <w:szCs w:val="32"/>
        </w:rPr>
      </w:pPr>
      <w:r>
        <w:rPr>
          <w:rFonts w:eastAsia="方正楷体_GBK" w:cs="方正楷体_GBK" w:hint="eastAsia"/>
          <w:b/>
          <w:bCs/>
          <w:sz w:val="32"/>
          <w:szCs w:val="32"/>
        </w:rPr>
        <w:t>（十）外交支出（类）对外援助（款）对外援助（项）：</w:t>
      </w:r>
      <w:r>
        <w:rPr>
          <w:rFonts w:eastAsia="方正仿宋_GBK" w:cs="方正仿宋_GBK" w:hint="eastAsia"/>
          <w:sz w:val="32"/>
          <w:szCs w:val="32"/>
        </w:rPr>
        <w:t>反映海关对外国政府（地区）提供的各种援助和技术合作支出。</w:t>
      </w:r>
    </w:p>
    <w:p>
      <w:pPr>
        <w:autoSpaceDN w:val="0"/>
        <w:spacing w:line="560" w:lineRule="exact"/>
        <w:ind w:firstLineChars="200" w:firstLine="640"/>
        <w:rPr>
          <w:rFonts w:eastAsia="方正仿宋_GBK"/>
          <w:sz w:val="32"/>
          <w:szCs w:val="32"/>
        </w:rPr>
      </w:pPr>
      <w:r>
        <w:rPr>
          <w:rFonts w:eastAsia="方正楷体_GBK" w:cs="方正楷体_GBK" w:hint="eastAsia"/>
          <w:b/>
          <w:bCs/>
          <w:sz w:val="32"/>
          <w:szCs w:val="32"/>
        </w:rPr>
        <w:t>（十一）外交支出（类）国际组织（款）国际组织会费（项）：</w:t>
      </w:r>
      <w:r>
        <w:rPr>
          <w:rFonts w:eastAsia="方正仿宋_GBK" w:cs="方正仿宋_GBK" w:hint="eastAsia"/>
          <w:sz w:val="32"/>
          <w:szCs w:val="32"/>
        </w:rPr>
        <w:t>反映海关经批</w:t>
      </w:r>
      <w:bookmarkStart w:id="0" w:name="_GoBack"/>
      <w:bookmarkEnd w:id="0"/>
      <w:r>
        <w:rPr>
          <w:rFonts w:eastAsia="方正仿宋_GBK" w:cs="方正仿宋_GBK" w:hint="eastAsia"/>
          <w:sz w:val="32"/>
          <w:szCs w:val="32"/>
        </w:rPr>
        <w:t>准参加国际组织，按国际组织规定缴纳的会费。</w:t>
      </w:r>
    </w:p>
    <w:p>
      <w:pPr>
        <w:autoSpaceDN w:val="0"/>
        <w:spacing w:line="560" w:lineRule="exact"/>
        <w:ind w:firstLineChars="200" w:firstLine="640"/>
        <w:rPr>
          <w:rFonts w:eastAsia="方正仿宋_GBK"/>
          <w:sz w:val="32"/>
          <w:szCs w:val="32"/>
        </w:rPr>
      </w:pPr>
      <w:r>
        <w:rPr>
          <w:rFonts w:eastAsia="方正楷体_GBK" w:cs="方正楷体_GBK" w:hint="eastAsia"/>
          <w:b/>
          <w:bCs/>
          <w:sz w:val="32"/>
          <w:szCs w:val="32"/>
        </w:rPr>
        <w:t>（十二）外交支出（类）国际组织（款）国际组织捐赠（项）：</w:t>
      </w:r>
      <w:r>
        <w:rPr>
          <w:rFonts w:eastAsia="方正仿宋_GBK" w:cs="方正仿宋_GBK" w:hint="eastAsia"/>
          <w:sz w:val="32"/>
          <w:szCs w:val="32"/>
        </w:rPr>
        <w:t>反映以我国政府或海关总署名义，向国际组织的认捐、救灾、馈赠等支出。</w:t>
      </w:r>
    </w:p>
    <w:p>
      <w:pPr>
        <w:autoSpaceDN w:val="0"/>
        <w:spacing w:line="560" w:lineRule="exact"/>
        <w:ind w:firstLineChars="200" w:firstLine="640"/>
        <w:rPr>
          <w:rFonts w:eastAsia="方正仿宋_GBK"/>
          <w:sz w:val="32"/>
          <w:szCs w:val="32"/>
        </w:rPr>
      </w:pPr>
      <w:r>
        <w:rPr>
          <w:rFonts w:eastAsia="方正楷体_GBK" w:cs="方正楷体_GBK" w:hint="eastAsia"/>
          <w:b/>
          <w:bCs/>
          <w:sz w:val="32"/>
          <w:szCs w:val="32"/>
        </w:rPr>
        <w:t>（十三）外交支出（类）其他外交支出（款）其他外交支出（项）：</w:t>
      </w:r>
      <w:r>
        <w:rPr>
          <w:rFonts w:eastAsia="方正仿宋_GBK" w:cs="方正仿宋_GBK" w:hint="eastAsia"/>
          <w:sz w:val="32"/>
          <w:szCs w:val="32"/>
        </w:rPr>
        <w:t>反映除上述项目以外其他用于外交方面的支出。</w:t>
      </w:r>
    </w:p>
    <w:p>
      <w:pPr>
        <w:autoSpaceDN w:val="0"/>
        <w:spacing w:line="560" w:lineRule="exact"/>
        <w:ind w:firstLineChars="200" w:firstLine="640"/>
      </w:pPr>
      <w:r>
        <w:rPr>
          <w:rFonts w:eastAsia="方正楷体_GBK" w:cs="方正楷体_GBK" w:hint="eastAsia"/>
          <w:b/>
          <w:bCs/>
          <w:sz w:val="32"/>
          <w:szCs w:val="32"/>
        </w:rPr>
        <w:t>（十四）公共安全支出（类）缉私警察（款）：</w:t>
      </w:r>
      <w:r>
        <w:rPr>
          <w:rFonts w:eastAsia="方正仿宋_GBK" w:cs="方正仿宋_GBK" w:hint="eastAsia"/>
          <w:sz w:val="32"/>
          <w:szCs w:val="32"/>
        </w:rPr>
        <w:t>反映海关缉私警察的基本支出及完成专项业务工作的项目支出。</w:t>
      </w:r>
    </w:p>
    <w:p>
      <w:pPr>
        <w:autoSpaceDN w:val="0"/>
        <w:spacing w:line="560" w:lineRule="exact"/>
        <w:ind w:firstLineChars="200" w:firstLine="640"/>
        <w:rPr>
          <w:rFonts w:eastAsia="方正仿宋_GBK"/>
          <w:b/>
          <w:bCs/>
          <w:sz w:val="32"/>
          <w:szCs w:val="32"/>
        </w:rPr>
      </w:pPr>
      <w:r>
        <w:rPr>
          <w:rFonts w:eastAsia="方正楷体_GBK" w:cs="方正楷体_GBK" w:hint="eastAsia"/>
          <w:b/>
          <w:bCs/>
          <w:sz w:val="32"/>
          <w:szCs w:val="32"/>
        </w:rPr>
        <w:t>（十五）教育支出（类）普通教育（款）高等教育（项）：</w:t>
      </w:r>
      <w:r>
        <w:rPr>
          <w:rFonts w:eastAsia="方正仿宋_GBK" w:cs="方正仿宋_GBK" w:hint="eastAsia"/>
          <w:sz w:val="32"/>
          <w:szCs w:val="32"/>
        </w:rPr>
        <w:t>反映海关所属院校教学等方面的支出。</w:t>
      </w:r>
    </w:p>
    <w:p>
      <w:pPr>
        <w:autoSpaceDN w:val="0"/>
        <w:spacing w:line="560" w:lineRule="exact"/>
        <w:ind w:firstLineChars="200" w:firstLine="640"/>
        <w:rPr>
          <w:rFonts w:eastAsia="方正仿宋_GBK"/>
          <w:sz w:val="32"/>
          <w:szCs w:val="32"/>
        </w:rPr>
      </w:pPr>
      <w:r>
        <w:rPr>
          <w:rFonts w:eastAsia="方正楷体_GBK" w:cs="方正楷体_GBK" w:hint="eastAsia"/>
          <w:b/>
          <w:bCs/>
          <w:sz w:val="32"/>
          <w:szCs w:val="32"/>
        </w:rPr>
        <w:t>（十六）社会保障和就业支出（类）行政事业单位养老支出（款）：</w:t>
      </w:r>
      <w:r>
        <w:rPr>
          <w:rFonts w:eastAsia="方正仿宋_GBK" w:cs="方正仿宋_GBK" w:hint="eastAsia"/>
          <w:sz w:val="32"/>
          <w:szCs w:val="32"/>
        </w:rPr>
        <w:t>反映用于海关行政事业单位离退休方面的支出。</w:t>
      </w:r>
    </w:p>
    <w:p>
      <w:pPr>
        <w:autoSpaceDN w:val="0"/>
        <w:spacing w:line="560" w:lineRule="exact"/>
        <w:ind w:firstLineChars="200" w:firstLine="640"/>
        <w:rPr>
          <w:rFonts w:eastAsia="方正仿宋_GBK"/>
          <w:sz w:val="32"/>
          <w:szCs w:val="32"/>
        </w:rPr>
      </w:pPr>
      <w:r>
        <w:rPr>
          <w:rFonts w:eastAsia="方正仿宋_GBK" w:cs="方正仿宋_GBK" w:hint="eastAsia"/>
          <w:b/>
          <w:bCs/>
          <w:sz w:val="32"/>
          <w:szCs w:val="32"/>
        </w:rPr>
        <w:t>行政单位离退休（项）：</w:t>
      </w:r>
      <w:r>
        <w:rPr>
          <w:rFonts w:eastAsia="方正仿宋_GBK" w:cs="方正仿宋_GBK" w:hint="eastAsia"/>
          <w:sz w:val="32"/>
          <w:szCs w:val="32"/>
        </w:rPr>
        <w:t>反映海关系统行政单位（包括参照公务员管理的事业单位）开支的离退休支出。</w:t>
      </w:r>
    </w:p>
    <w:p>
      <w:pPr>
        <w:autoSpaceDN w:val="0"/>
        <w:spacing w:line="560" w:lineRule="exact"/>
        <w:ind w:firstLineChars="200" w:firstLine="640"/>
        <w:rPr>
          <w:rFonts w:eastAsia="方正仿宋_GBK"/>
          <w:sz w:val="32"/>
          <w:szCs w:val="32"/>
        </w:rPr>
      </w:pPr>
      <w:r>
        <w:rPr>
          <w:rFonts w:eastAsia="方正仿宋_GBK" w:cs="方正仿宋_GBK" w:hint="eastAsia"/>
          <w:b/>
          <w:bCs/>
          <w:sz w:val="32"/>
          <w:szCs w:val="32"/>
        </w:rPr>
        <w:t>事业单位离退休（项）：</w:t>
      </w:r>
      <w:r>
        <w:rPr>
          <w:rFonts w:eastAsia="方正仿宋_GBK" w:cs="方正仿宋_GBK" w:hint="eastAsia"/>
          <w:sz w:val="32"/>
          <w:szCs w:val="32"/>
        </w:rPr>
        <w:t>反映海关系统事业单位开支的离退休经费。</w:t>
      </w:r>
    </w:p>
    <w:p>
      <w:pPr>
        <w:autoSpaceDN w:val="0"/>
        <w:spacing w:line="560" w:lineRule="exact"/>
        <w:ind w:firstLineChars="200" w:firstLine="640"/>
        <w:rPr>
          <w:rFonts w:eastAsia="方正仿宋_GBK"/>
          <w:sz w:val="32"/>
          <w:szCs w:val="32"/>
        </w:rPr>
      </w:pPr>
      <w:r>
        <w:rPr>
          <w:rFonts w:eastAsia="方正仿宋_GBK" w:cs="方正仿宋_GBK" w:hint="eastAsia"/>
          <w:b/>
          <w:bCs/>
          <w:sz w:val="32"/>
          <w:szCs w:val="32"/>
        </w:rPr>
        <w:t>离退休人员管理机构（项）：</w:t>
      </w:r>
      <w:r>
        <w:rPr>
          <w:rFonts w:eastAsia="方正仿宋_GBK" w:cs="方正仿宋_GBK" w:hint="eastAsia"/>
          <w:sz w:val="32"/>
          <w:szCs w:val="32"/>
        </w:rPr>
        <w:t>反映海关系统为离退休人员提供管理服务的离退休管理机构的支出。</w:t>
      </w:r>
    </w:p>
    <w:p>
      <w:pPr>
        <w:autoSpaceDN w:val="0"/>
        <w:spacing w:line="560" w:lineRule="exact"/>
        <w:ind w:firstLineChars="200" w:firstLine="640"/>
        <w:rPr>
          <w:rFonts w:eastAsia="方正仿宋_GBK"/>
          <w:sz w:val="32"/>
          <w:szCs w:val="32"/>
        </w:rPr>
      </w:pPr>
      <w:r>
        <w:rPr>
          <w:rFonts w:eastAsia="方正仿宋_GBK" w:cs="方正仿宋_GBK" w:hint="eastAsia"/>
          <w:b/>
          <w:bCs/>
          <w:sz w:val="32"/>
          <w:szCs w:val="32"/>
        </w:rPr>
        <w:t>机关事业单位基本养老保险缴费支出（项）：</w:t>
      </w:r>
      <w:r>
        <w:rPr>
          <w:rFonts w:eastAsia="方正仿宋_GBK" w:cs="方正仿宋_GBK" w:hint="eastAsia"/>
          <w:sz w:val="32"/>
          <w:szCs w:val="32"/>
        </w:rPr>
        <w:t>反映已参加当地社保的在职人员的基本养老保险支出。</w:t>
      </w:r>
    </w:p>
    <w:p>
      <w:pPr>
        <w:autoSpaceDN w:val="0"/>
        <w:spacing w:line="560" w:lineRule="exact"/>
        <w:ind w:firstLineChars="200" w:firstLine="640"/>
        <w:rPr>
          <w:rFonts w:eastAsia="方正仿宋_GBK"/>
          <w:sz w:val="32"/>
          <w:szCs w:val="32"/>
        </w:rPr>
      </w:pPr>
      <w:r>
        <w:rPr>
          <w:rFonts w:eastAsia="方正仿宋_GBK" w:cs="方正仿宋_GBK" w:hint="eastAsia"/>
          <w:b/>
          <w:bCs/>
          <w:sz w:val="32"/>
          <w:szCs w:val="32"/>
        </w:rPr>
        <w:t>机关事业单位职业年金缴费支出（项）：</w:t>
      </w:r>
      <w:r>
        <w:rPr>
          <w:rFonts w:eastAsia="方正仿宋_GBK" w:cs="方正仿宋_GBK" w:hint="eastAsia"/>
          <w:sz w:val="32"/>
          <w:szCs w:val="32"/>
        </w:rPr>
        <w:t>反映已参加当地社保的在职人员的职业年金支出。</w:t>
      </w:r>
    </w:p>
    <w:p>
      <w:pPr>
        <w:autoSpaceDN w:val="0"/>
        <w:spacing w:line="560" w:lineRule="exact"/>
        <w:ind w:firstLineChars="147" w:firstLine="470"/>
        <w:rPr>
          <w:rFonts w:eastAsia="方正仿宋_GBK"/>
          <w:sz w:val="32"/>
          <w:szCs w:val="32"/>
        </w:rPr>
      </w:pPr>
      <w:r>
        <w:rPr>
          <w:rFonts w:eastAsia="方正楷体_GBK" w:cs="方正楷体_GBK" w:hint="eastAsia"/>
          <w:b/>
          <w:bCs/>
          <w:sz w:val="32"/>
          <w:szCs w:val="32"/>
        </w:rPr>
        <w:t>（十七）卫生健康支出（类）行政事业单位医疗（款）：</w:t>
      </w:r>
      <w:r>
        <w:rPr>
          <w:rFonts w:eastAsia="方正仿宋_GBK" w:cs="方正仿宋_GBK" w:hint="eastAsia"/>
          <w:sz w:val="32"/>
          <w:szCs w:val="32"/>
        </w:rPr>
        <w:t>反映已参加当地医保的海关单位用于向地方社保部门缴纳的基本医疗保险和公务员医疗补助支出。</w:t>
      </w:r>
    </w:p>
    <w:p>
      <w:pPr>
        <w:autoSpaceDN w:val="0"/>
        <w:spacing w:line="560" w:lineRule="exact"/>
        <w:ind w:firstLineChars="200" w:firstLine="640"/>
        <w:rPr>
          <w:rFonts w:eastAsia="方正仿宋_GBK"/>
          <w:sz w:val="32"/>
          <w:szCs w:val="32"/>
        </w:rPr>
      </w:pPr>
      <w:r>
        <w:rPr>
          <w:rFonts w:eastAsia="方正仿宋_GBK" w:cs="方正仿宋_GBK" w:hint="eastAsia"/>
          <w:b/>
          <w:bCs/>
          <w:sz w:val="32"/>
          <w:szCs w:val="32"/>
        </w:rPr>
        <w:t>行政单位医疗（项）：</w:t>
      </w:r>
      <w:r>
        <w:rPr>
          <w:rFonts w:eastAsia="方正仿宋_GBK" w:cs="方正仿宋_GBK" w:hint="eastAsia"/>
          <w:sz w:val="32"/>
          <w:szCs w:val="32"/>
        </w:rPr>
        <w:t>指中央财政集中安排的驻各地海关单位基本医疗保险缴费经费。</w:t>
      </w:r>
    </w:p>
    <w:p>
      <w:pPr>
        <w:autoSpaceDN w:val="0"/>
        <w:spacing w:line="560" w:lineRule="exact"/>
        <w:ind w:firstLineChars="200" w:firstLine="640"/>
      </w:pPr>
      <w:r>
        <w:rPr>
          <w:rFonts w:eastAsia="方正仿宋_GBK" w:cs="方正仿宋_GBK" w:hint="eastAsia"/>
          <w:b/>
          <w:bCs/>
          <w:sz w:val="32"/>
          <w:szCs w:val="32"/>
        </w:rPr>
        <w:t>公务员医疗补助（项）：</w:t>
      </w:r>
      <w:r>
        <w:rPr>
          <w:rFonts w:eastAsia="方正仿宋_GBK" w:cs="方正仿宋_GBK" w:hint="eastAsia"/>
          <w:sz w:val="32"/>
          <w:szCs w:val="32"/>
        </w:rPr>
        <w:t>指中央财政集中安排的驻各地海关单位公务员医疗补助经费。</w:t>
      </w:r>
    </w:p>
    <w:p>
      <w:pPr>
        <w:autoSpaceDN w:val="0"/>
        <w:spacing w:line="560" w:lineRule="exact"/>
        <w:ind w:firstLineChars="200" w:firstLine="640"/>
        <w:rPr>
          <w:rFonts w:eastAsia="方正仿宋_GBK"/>
          <w:sz w:val="32"/>
          <w:szCs w:val="32"/>
        </w:rPr>
      </w:pPr>
      <w:r>
        <w:rPr>
          <w:rFonts w:eastAsia="方正楷体_GBK" w:cs="方正楷体_GBK" w:hint="eastAsia"/>
          <w:b/>
          <w:bCs/>
          <w:sz w:val="32"/>
          <w:szCs w:val="32"/>
        </w:rPr>
        <w:t>（十八）住房保障支出（类）住房改革支出（款）：</w:t>
      </w:r>
      <w:r>
        <w:rPr>
          <w:rFonts w:eastAsia="方正仿宋_GBK" w:cs="方正仿宋_GBK" w:hint="eastAsia"/>
          <w:sz w:val="32"/>
          <w:szCs w:val="32"/>
        </w:rPr>
        <w:t>反映海关系统按照国家政策规定为职工发放的住房公积金、提租补贴和购房补贴等支出。住房改革支出包括三项：</w:t>
      </w:r>
    </w:p>
    <w:p>
      <w:pPr>
        <w:autoSpaceDN w:val="0"/>
        <w:spacing w:line="560" w:lineRule="exact"/>
        <w:ind w:firstLineChars="200" w:firstLine="640"/>
        <w:rPr>
          <w:rFonts w:eastAsia="方正仿宋_GBK"/>
          <w:sz w:val="32"/>
          <w:szCs w:val="32"/>
        </w:rPr>
      </w:pPr>
      <w:r>
        <w:rPr>
          <w:rFonts w:eastAsia="方正仿宋_GBK" w:cs="方正仿宋_GBK" w:hint="eastAsia"/>
          <w:b/>
          <w:bCs/>
          <w:sz w:val="32"/>
          <w:szCs w:val="32"/>
        </w:rPr>
        <w:t>住房公积金（项）：</w:t>
      </w:r>
      <w:r>
        <w:rPr>
          <w:rFonts w:eastAsia="方正仿宋_GBK" w:cs="方正仿宋_GBK"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w:t>
      </w:r>
      <w:r>
        <w:rPr>
          <w:rFonts w:eastAsia="方正仿宋_GBK"/>
          <w:sz w:val="32"/>
          <w:szCs w:val="32"/>
        </w:rPr>
        <w:t>5</w:t>
      </w:r>
      <w:r>
        <w:rPr>
          <w:rFonts w:eastAsia="方正仿宋_GBK" w:cs="方正仿宋_GBK" w:hint="eastAsia"/>
          <w:sz w:val="32"/>
          <w:szCs w:val="32"/>
        </w:rPr>
        <w:t>％，最高不超过</w:t>
      </w:r>
      <w:r>
        <w:rPr>
          <w:rFonts w:eastAsia="方正仿宋_GBK"/>
          <w:sz w:val="32"/>
          <w:szCs w:val="32"/>
        </w:rPr>
        <w:t>12</w:t>
      </w:r>
      <w:r>
        <w:rPr>
          <w:rFonts w:eastAsia="方正仿宋_GBK" w:cs="方正仿宋_GBK" w:hint="eastAsia"/>
          <w:sz w:val="32"/>
          <w:szCs w:val="32"/>
        </w:rPr>
        <w:t>％，缴存基数为职工本人上年工资，目前已实施近</w:t>
      </w:r>
      <w:r>
        <w:rPr>
          <w:rFonts w:eastAsia="方正仿宋_GBK"/>
          <w:sz w:val="32"/>
          <w:szCs w:val="32"/>
        </w:rPr>
        <w:t>20</w:t>
      </w:r>
      <w:r>
        <w:rPr>
          <w:rFonts w:eastAsia="方正仿宋_GBK" w:cs="方正仿宋_GBK" w:hint="eastAsia"/>
          <w:sz w:val="32"/>
          <w:szCs w:val="32"/>
        </w:rPr>
        <w:t>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autoSpaceDN w:val="0"/>
        <w:spacing w:line="560" w:lineRule="exact"/>
        <w:ind w:firstLineChars="200" w:firstLine="640"/>
        <w:rPr>
          <w:rFonts w:eastAsia="方正仿宋_GBK"/>
          <w:sz w:val="32"/>
          <w:szCs w:val="32"/>
        </w:rPr>
      </w:pPr>
      <w:r>
        <w:rPr>
          <w:rFonts w:eastAsia="方正仿宋_GBK" w:cs="方正仿宋_GBK" w:hint="eastAsia"/>
          <w:b/>
          <w:bCs/>
          <w:sz w:val="32"/>
          <w:szCs w:val="32"/>
        </w:rPr>
        <w:t>提租补贴（项）：</w:t>
      </w:r>
      <w:r>
        <w:rPr>
          <w:rFonts w:eastAsia="方正仿宋_GBK" w:cs="方正仿宋_GBK" w:hint="eastAsia"/>
          <w:sz w:val="32"/>
          <w:szCs w:val="32"/>
        </w:rPr>
        <w:t>提租补贴是经国务院批准，于</w:t>
      </w:r>
      <w:r>
        <w:rPr>
          <w:rFonts w:eastAsia="方正仿宋_GBK"/>
          <w:sz w:val="32"/>
          <w:szCs w:val="32"/>
        </w:rPr>
        <w:t>2000</w:t>
      </w:r>
      <w:r>
        <w:rPr>
          <w:rFonts w:eastAsia="方正仿宋_GBK" w:cs="方正仿宋_GBK" w:hint="eastAsia"/>
          <w:sz w:val="32"/>
          <w:szCs w:val="32"/>
        </w:rPr>
        <w:t>年开始针对在京中央单位公有住房租金标准提高发放的补贴，中央在京单位按照在职在编职工人数和离退休人数以及相应职级的补贴标准确定，人均月补贴</w:t>
      </w:r>
      <w:r>
        <w:rPr>
          <w:rFonts w:eastAsia="方正仿宋_GBK"/>
          <w:sz w:val="32"/>
          <w:szCs w:val="32"/>
        </w:rPr>
        <w:t>90</w:t>
      </w:r>
      <w:r>
        <w:rPr>
          <w:rFonts w:eastAsia="方正仿宋_GBK" w:cs="方正仿宋_GBK" w:hint="eastAsia"/>
          <w:sz w:val="32"/>
          <w:szCs w:val="32"/>
        </w:rPr>
        <w:t>元。</w:t>
      </w:r>
    </w:p>
    <w:p>
      <w:pPr>
        <w:autoSpaceDN w:val="0"/>
        <w:spacing w:line="560" w:lineRule="exact"/>
        <w:ind w:firstLineChars="200" w:firstLine="640"/>
      </w:pPr>
      <w:r>
        <w:rPr>
          <w:rFonts w:eastAsia="方正仿宋_GBK" w:cs="方正仿宋_GBK" w:hint="eastAsia"/>
          <w:b/>
          <w:bCs/>
          <w:sz w:val="32"/>
          <w:szCs w:val="32"/>
        </w:rPr>
        <w:t>购房补贴（项）：</w:t>
      </w:r>
      <w:r>
        <w:rPr>
          <w:rFonts w:eastAsia="方正仿宋_GBK" w:cs="方正仿宋_GBK" w:hint="eastAsia"/>
          <w:sz w:val="32"/>
          <w:szCs w:val="32"/>
        </w:rPr>
        <w:t>购房补贴是根据《国务院关于进一步深化城镇住房制度改革加快住房建设的通知》（国发〔</w:t>
      </w:r>
      <w:r>
        <w:rPr>
          <w:rFonts w:eastAsia="方正仿宋_GBK"/>
          <w:sz w:val="32"/>
          <w:szCs w:val="32"/>
        </w:rPr>
        <w:t>1998</w:t>
      </w:r>
      <w:r>
        <w:rPr>
          <w:rFonts w:eastAsia="方正仿宋_GBK" w:cs="方正仿宋_GBK" w:hint="eastAsia"/>
          <w:sz w:val="32"/>
          <w:szCs w:val="32"/>
        </w:rPr>
        <w:t>〕</w:t>
      </w:r>
      <w:r>
        <w:rPr>
          <w:rFonts w:eastAsia="方正仿宋_GBK"/>
          <w:sz w:val="32"/>
          <w:szCs w:val="32"/>
        </w:rPr>
        <w:t>23</w:t>
      </w:r>
      <w:r>
        <w:rPr>
          <w:rFonts w:eastAsia="方正仿宋_GBK" w:cs="方正仿宋_GBK" w:hint="eastAsia"/>
          <w:sz w:val="32"/>
          <w:szCs w:val="32"/>
        </w:rPr>
        <w:t>号）的规定，从</w:t>
      </w:r>
      <w:r>
        <w:rPr>
          <w:rFonts w:eastAsia="方正仿宋_GBK"/>
          <w:sz w:val="32"/>
          <w:szCs w:val="32"/>
        </w:rPr>
        <w:t>1998</w:t>
      </w:r>
      <w:r>
        <w:rPr>
          <w:rFonts w:eastAsia="方正仿宋_GBK" w:cs="方正仿宋_GBK" w:hint="eastAsia"/>
          <w:sz w:val="32"/>
          <w:szCs w:val="32"/>
        </w:rPr>
        <w:t>年下半年停止实物分房后，房价收入比超过</w:t>
      </w:r>
      <w:r>
        <w:rPr>
          <w:rFonts w:eastAsia="方正仿宋_GBK"/>
          <w:sz w:val="32"/>
          <w:szCs w:val="32"/>
        </w:rPr>
        <w:t>4</w:t>
      </w:r>
      <w:r>
        <w:rPr>
          <w:rFonts w:eastAsia="方正仿宋_GBK" w:cs="方正仿宋_GBK" w:hint="eastAsia"/>
          <w:sz w:val="32"/>
          <w:szCs w:val="32"/>
        </w:rPr>
        <w:t>倍以上地区对无房和住房未达标职工发放的住房货币化改革补贴资金。中央行政事业单位从</w:t>
      </w:r>
      <w:r>
        <w:rPr>
          <w:rFonts w:eastAsia="方正仿宋_GBK"/>
          <w:sz w:val="32"/>
          <w:szCs w:val="32"/>
        </w:rPr>
        <w:t>2000</w:t>
      </w:r>
      <w:r>
        <w:rPr>
          <w:rFonts w:eastAsia="方正仿宋_GBK" w:cs="方正仿宋_GBK" w:hint="eastAsia"/>
          <w:sz w:val="32"/>
          <w:szCs w:val="32"/>
        </w:rPr>
        <w:t>年开始发放购房补贴资金，地方行政事业单位从</w:t>
      </w:r>
      <w:r>
        <w:rPr>
          <w:rFonts w:eastAsia="方正仿宋_GBK"/>
          <w:sz w:val="32"/>
          <w:szCs w:val="32"/>
        </w:rPr>
        <w:t>1999</w:t>
      </w:r>
      <w:r>
        <w:rPr>
          <w:rFonts w:eastAsia="方正仿宋_GBK" w:cs="方正仿宋_GBK" w:hint="eastAsia"/>
          <w:sz w:val="32"/>
          <w:szCs w:val="32"/>
        </w:rPr>
        <w:t>年陆续开始发放购房补贴资金，企业根据本单位情况自行确定。在京中央单位按照《中共中央办公厅国务院办公厅转发建设部等单位</w:t>
      </w:r>
      <w:r>
        <w:rPr>
          <w:rFonts w:eastAsia="方正仿宋_GBK"/>
          <w:sz w:val="32"/>
          <w:szCs w:val="32"/>
        </w:rPr>
        <w:t>&lt;</w:t>
      </w:r>
      <w:r>
        <w:rPr>
          <w:rFonts w:eastAsia="方正仿宋_GBK" w:cs="方正仿宋_GBK" w:hint="eastAsia"/>
          <w:sz w:val="32"/>
          <w:szCs w:val="32"/>
        </w:rPr>
        <w:t>关于完善在京中央和国家机关住房制度的若干意见</w:t>
      </w:r>
      <w:r>
        <w:rPr>
          <w:rFonts w:eastAsia="方正仿宋_GBK"/>
          <w:sz w:val="32"/>
          <w:szCs w:val="32"/>
        </w:rPr>
        <w:t>&gt;</w:t>
      </w:r>
      <w:r>
        <w:rPr>
          <w:rFonts w:eastAsia="方正仿宋_GBK" w:cs="方正仿宋_GBK" w:hint="eastAsia"/>
          <w:sz w:val="32"/>
          <w:szCs w:val="32"/>
        </w:rPr>
        <w:t>的通知》（厅字〔</w:t>
      </w:r>
      <w:r>
        <w:rPr>
          <w:rFonts w:eastAsia="方正仿宋_GBK"/>
          <w:sz w:val="32"/>
          <w:szCs w:val="32"/>
        </w:rPr>
        <w:t>2005</w:t>
      </w:r>
      <w:r>
        <w:rPr>
          <w:rFonts w:eastAsia="方正仿宋_GBK" w:cs="方正仿宋_GBK" w:hint="eastAsia"/>
          <w:sz w:val="32"/>
          <w:szCs w:val="32"/>
        </w:rPr>
        <w:t>〕</w:t>
      </w:r>
      <w:r>
        <w:rPr>
          <w:rFonts w:eastAsia="方正仿宋_GBK"/>
          <w:sz w:val="32"/>
          <w:szCs w:val="32"/>
        </w:rPr>
        <w:t>8</w:t>
      </w:r>
      <w:r>
        <w:rPr>
          <w:rFonts w:eastAsia="方正仿宋_GBK" w:cs="方正仿宋_GBK" w:hint="eastAsia"/>
          <w:sz w:val="32"/>
          <w:szCs w:val="32"/>
        </w:rPr>
        <w:t>号）规定的标准执行，京外中央单位按照所在地人民政府住房分配货币化改革的政策规定和标准执行。</w:t>
      </w:r>
    </w:p>
    <w:p>
      <w:pPr>
        <w:autoSpaceDE w:val="0"/>
        <w:autoSpaceDN w:val="0"/>
        <w:adjustRightInd w:val="0"/>
        <w:spacing w:line="560" w:lineRule="exact"/>
        <w:ind w:firstLineChars="224" w:firstLine="717"/>
        <w:rPr>
          <w:rFonts w:eastAsia="方正仿宋_GBK"/>
          <w:kern w:val="0"/>
          <w:sz w:val="32"/>
          <w:szCs w:val="32"/>
        </w:rPr>
      </w:pPr>
      <w:r>
        <w:rPr>
          <w:rFonts w:eastAsia="方正楷体_GBK" w:cs="方正楷体_GBK" w:hint="eastAsia"/>
          <w:b/>
          <w:bCs/>
          <w:sz w:val="32"/>
          <w:szCs w:val="32"/>
        </w:rPr>
        <w:t>（十九）结余分配：</w:t>
      </w:r>
      <w:r>
        <w:rPr>
          <w:rFonts w:eastAsia="方正仿宋_GBK" w:cs="方正仿宋_GBK" w:hint="eastAsia"/>
          <w:sz w:val="32"/>
          <w:szCs w:val="32"/>
        </w:rPr>
        <w:t>指事业单位按照政府会计制度的规定缴纳的所得税、提取的专用结余以及转入非财政拨款结余的金额等。</w:t>
      </w:r>
    </w:p>
    <w:p>
      <w:pPr>
        <w:pStyle w:val="38"/>
        <w:spacing w:line="560" w:lineRule="exact"/>
        <w:ind w:firstLineChars="224" w:firstLine="717"/>
        <w:jc w:val="both"/>
        <w:rPr>
          <w:rFonts w:eastAsia="方正仿宋_GBK"/>
          <w:color w:val="auto"/>
          <w:kern w:val="2"/>
          <w:sz w:val="32"/>
          <w:szCs w:val="32"/>
        </w:rPr>
      </w:pPr>
      <w:r>
        <w:rPr>
          <w:rFonts w:eastAsia="方正楷体_GBK" w:cs="方正楷体_GBK" w:hint="eastAsia"/>
          <w:b/>
          <w:bCs/>
          <w:color w:val="auto"/>
          <w:sz w:val="32"/>
          <w:szCs w:val="32"/>
        </w:rPr>
        <w:t>（二十）年末结转和结余：</w:t>
      </w:r>
      <w:r>
        <w:rPr>
          <w:rFonts w:eastAsia="方正仿宋_GBK" w:cs="方正仿宋_GBK" w:hint="eastAsia"/>
          <w:color w:val="auto"/>
          <w:kern w:val="2"/>
          <w:sz w:val="32"/>
          <w:szCs w:val="32"/>
        </w:rPr>
        <w:t>指单位按有关规定结转到下年或以后年度继续使用的资金，或项目已完成等产生的结余资金。</w:t>
      </w:r>
    </w:p>
    <w:p>
      <w:pPr>
        <w:pStyle w:val="38"/>
        <w:spacing w:line="560" w:lineRule="exact"/>
        <w:ind w:firstLineChars="224" w:firstLine="717"/>
        <w:jc w:val="both"/>
        <w:rPr>
          <w:rFonts w:eastAsia="方正仿宋_GBK"/>
          <w:color w:val="auto"/>
          <w:sz w:val="32"/>
          <w:szCs w:val="32"/>
        </w:rPr>
      </w:pPr>
      <w:r>
        <w:rPr>
          <w:rFonts w:eastAsia="方正楷体_GBK" w:cs="方正楷体_GBK" w:hint="eastAsia"/>
          <w:b/>
          <w:bCs/>
          <w:color w:val="auto"/>
          <w:sz w:val="32"/>
          <w:szCs w:val="32"/>
        </w:rPr>
        <w:t>（二十一）基本支出：</w:t>
      </w:r>
      <w:r>
        <w:rPr>
          <w:rFonts w:eastAsia="方正仿宋_GBK" w:cs="方正仿宋_GBK" w:hint="eastAsia"/>
          <w:color w:val="auto"/>
          <w:sz w:val="32"/>
          <w:szCs w:val="32"/>
        </w:rPr>
        <w:t>指为保障机构正常运转、完成日常工作任务而发生的人员支出和公用支出。</w:t>
      </w:r>
    </w:p>
    <w:p>
      <w:pPr>
        <w:autoSpaceDE w:val="0"/>
        <w:autoSpaceDN w:val="0"/>
        <w:adjustRightInd w:val="0"/>
        <w:spacing w:line="560" w:lineRule="exact"/>
        <w:ind w:firstLineChars="224" w:firstLine="717"/>
        <w:rPr>
          <w:rFonts w:eastAsia="方正仿宋_GBK"/>
          <w:kern w:val="0"/>
          <w:sz w:val="32"/>
          <w:szCs w:val="32"/>
        </w:rPr>
      </w:pPr>
      <w:r>
        <w:rPr>
          <w:rFonts w:eastAsia="方正楷体_GBK" w:cs="方正楷体_GBK" w:hint="eastAsia"/>
          <w:b/>
          <w:bCs/>
          <w:kern w:val="0"/>
          <w:sz w:val="32"/>
          <w:szCs w:val="32"/>
        </w:rPr>
        <w:t>（二十二）项目支出：</w:t>
      </w:r>
      <w:r>
        <w:rPr>
          <w:rFonts w:eastAsia="方正仿宋_GBK" w:cs="方正仿宋_GBK" w:hint="eastAsia"/>
          <w:kern w:val="0"/>
          <w:sz w:val="32"/>
          <w:szCs w:val="32"/>
        </w:rPr>
        <w:t>指在基本支出之外为完成特定行政任务或事业发展目标所发生的支出。</w:t>
      </w:r>
    </w:p>
    <w:p>
      <w:pPr>
        <w:autoSpaceDE w:val="0"/>
        <w:autoSpaceDN w:val="0"/>
        <w:adjustRightInd w:val="0"/>
        <w:spacing w:line="560" w:lineRule="exact"/>
        <w:ind w:firstLineChars="224" w:firstLine="717"/>
        <w:rPr>
          <w:rFonts w:eastAsia="方正仿宋_GBK"/>
          <w:kern w:val="0"/>
          <w:sz w:val="32"/>
          <w:szCs w:val="32"/>
        </w:rPr>
      </w:pPr>
      <w:r>
        <w:rPr>
          <w:rFonts w:eastAsia="方正楷体_GBK" w:cs="方正楷体_GBK" w:hint="eastAsia"/>
          <w:b/>
          <w:bCs/>
          <w:kern w:val="0"/>
          <w:sz w:val="32"/>
          <w:szCs w:val="32"/>
        </w:rPr>
        <w:t>（二十三）经营支出：</w:t>
      </w:r>
      <w:r>
        <w:rPr>
          <w:rFonts w:eastAsia="方正仿宋_GBK" w:cs="方正仿宋_GBK" w:hint="eastAsia"/>
          <w:kern w:val="0"/>
          <w:sz w:val="32"/>
          <w:szCs w:val="32"/>
        </w:rPr>
        <w:t>指事业单位在专业业务活动及其辅助活动之外开展非独立核算经营活动发生的支出。</w:t>
      </w:r>
    </w:p>
    <w:p>
      <w:pPr>
        <w:autoSpaceDN w:val="0"/>
        <w:spacing w:line="560" w:lineRule="exact"/>
        <w:ind w:firstLineChars="200" w:firstLine="640"/>
        <w:rPr>
          <w:rFonts w:eastAsia="方正仿宋_GBK"/>
          <w:sz w:val="32"/>
          <w:szCs w:val="32"/>
        </w:rPr>
      </w:pPr>
      <w:r>
        <w:rPr>
          <w:rFonts w:eastAsia="方正楷体_GBK" w:cs="方正楷体_GBK" w:hint="eastAsia"/>
          <w:b/>
          <w:bCs/>
          <w:kern w:val="0"/>
          <w:sz w:val="32"/>
          <w:szCs w:val="32"/>
        </w:rPr>
        <w:t>（二十四）</w:t>
      </w:r>
      <w:r>
        <w:rPr>
          <w:rFonts w:eastAsia="方正楷体_GBK"/>
          <w:b/>
          <w:bCs/>
          <w:kern w:val="0"/>
          <w:sz w:val="32"/>
          <w:szCs w:val="32"/>
        </w:rPr>
        <w:t>“</w:t>
      </w:r>
      <w:r>
        <w:rPr>
          <w:rFonts w:eastAsia="方正楷体_GBK" w:cs="方正楷体_GBK" w:hint="eastAsia"/>
          <w:b/>
          <w:bCs/>
          <w:kern w:val="0"/>
          <w:sz w:val="32"/>
          <w:szCs w:val="32"/>
        </w:rPr>
        <w:t>三公经费</w:t>
      </w:r>
      <w:r>
        <w:rPr>
          <w:rFonts w:eastAsia="方正楷体_GBK"/>
          <w:b/>
          <w:bCs/>
          <w:kern w:val="0"/>
          <w:sz w:val="32"/>
          <w:szCs w:val="32"/>
        </w:rPr>
        <w:t>”</w:t>
      </w:r>
      <w:r>
        <w:rPr>
          <w:rFonts w:eastAsia="方正楷体_GBK" w:cs="方正楷体_GBK" w:hint="eastAsia"/>
          <w:b/>
          <w:bCs/>
          <w:kern w:val="0"/>
          <w:sz w:val="32"/>
          <w:szCs w:val="32"/>
        </w:rPr>
        <w:t>：</w:t>
      </w:r>
      <w:r>
        <w:rPr>
          <w:rFonts w:eastAsia="方正仿宋_GBK" w:cs="方正仿宋_GBK" w:hint="eastAsia"/>
          <w:sz w:val="32"/>
          <w:szCs w:val="32"/>
        </w:rPr>
        <w:t>纳入中央财政预决算管理的</w:t>
      </w:r>
      <w:r>
        <w:rPr>
          <w:rFonts w:eastAsia="方正仿宋_GBK"/>
          <w:sz w:val="32"/>
          <w:szCs w:val="32"/>
        </w:rPr>
        <w:t>“</w:t>
      </w:r>
      <w:r>
        <w:rPr>
          <w:rFonts w:eastAsia="方正仿宋_GBK" w:cs="方正仿宋_GBK" w:hint="eastAsia"/>
          <w:sz w:val="32"/>
          <w:szCs w:val="32"/>
        </w:rPr>
        <w:t>三公</w:t>
      </w:r>
      <w:r>
        <w:rPr>
          <w:rFonts w:eastAsia="方正仿宋_GBK"/>
          <w:sz w:val="32"/>
          <w:szCs w:val="32"/>
        </w:rPr>
        <w:t>”</w:t>
      </w:r>
      <w:r>
        <w:rPr>
          <w:rFonts w:eastAsia="方正仿宋_GBK" w:cs="方正仿宋_GBK" w:hint="eastAsia"/>
          <w:sz w:val="32"/>
          <w:szCs w:val="32"/>
        </w:rPr>
        <w:t>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按规定保留的公务用车车辆燃料费、维修费、过桥过路费、保险费、安全奖励费用等支出；公务接待费反映单位按规定开支的各类公务接待（含外宾接待）支出。</w:t>
      </w:r>
    </w:p>
    <w:p>
      <w:pPr>
        <w:autoSpaceDN w:val="0"/>
        <w:spacing w:line="560" w:lineRule="exact"/>
        <w:ind w:firstLineChars="200" w:firstLine="640"/>
        <w:rPr>
          <w:rFonts w:eastAsia="方正仿宋_GBK" w:cs="方正仿宋_GBK" w:hint="eastAsia"/>
          <w:sz w:val="32"/>
          <w:szCs w:val="32"/>
        </w:rPr>
      </w:pPr>
      <w:r>
        <w:rPr>
          <w:rFonts w:eastAsia="方正楷体_GBK" w:cs="方正楷体_GBK" w:hint="eastAsia"/>
          <w:b/>
          <w:bCs/>
          <w:kern w:val="0"/>
          <w:sz w:val="32"/>
          <w:szCs w:val="32"/>
        </w:rPr>
        <w:t>（二十五）</w:t>
      </w:r>
      <w:r>
        <w:rPr>
          <w:rFonts w:eastAsia="方正楷体_GBK" w:cs="方正楷体_GBK" w:hint="eastAsia"/>
          <w:b/>
          <w:bCs/>
          <w:sz w:val="32"/>
          <w:szCs w:val="32"/>
        </w:rPr>
        <w:t>机关运行经费：</w:t>
      </w:r>
      <w:r>
        <w:rPr>
          <w:rFonts w:eastAsia="方正仿宋_GBK" w:cs="方正仿宋_GBK" w:hint="eastAsia"/>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5"/>
        <w:rPr>
          <w:rFonts w:eastAsia="方正仿宋_GBK" w:cs="方正仿宋_GBK" w:hint="eastAsia"/>
          <w:sz w:val="32"/>
          <w:szCs w:val="32"/>
        </w:rPr>
      </w:pPr>
    </w:p>
    <w:p>
      <w:pPr>
        <w:pStyle w:val="15"/>
        <w:rPr>
          <w:rFonts w:eastAsia="方正仿宋_GBK" w:cs="方正仿宋_GBK" w:hint="eastAsia"/>
          <w:sz w:val="32"/>
          <w:szCs w:val="32"/>
        </w:rPr>
      </w:pPr>
    </w:p>
    <w:p>
      <w:pPr>
        <w:pStyle w:val="15"/>
        <w:rPr>
          <w:rFonts w:eastAsia="方正仿宋_GBK" w:cs="方正仿宋_GBK" w:hint="eastAsia"/>
          <w:sz w:val="32"/>
          <w:szCs w:val="32"/>
        </w:rPr>
      </w:pPr>
    </w:p>
    <w:p>
      <w:pPr>
        <w:pStyle w:val="15"/>
        <w:rPr>
          <w:rFonts w:eastAsia="方正仿宋_GBK" w:cs="方正仿宋_GBK" w:hint="eastAsia"/>
          <w:sz w:val="32"/>
          <w:szCs w:val="32"/>
        </w:rPr>
      </w:pPr>
    </w:p>
    <w:p>
      <w:pPr>
        <w:pStyle w:val="15"/>
        <w:rPr>
          <w:rFonts w:eastAsia="方正仿宋_GBK" w:cs="方正仿宋_GBK" w:hint="eastAsia"/>
          <w:sz w:val="32"/>
          <w:szCs w:val="32"/>
        </w:rPr>
      </w:pPr>
    </w:p>
    <w:p>
      <w:pPr>
        <w:pStyle w:val="15"/>
        <w:rPr>
          <w:rFonts w:eastAsia="方正仿宋_GBK" w:cs="方正仿宋_GBK" w:hint="eastAsia"/>
          <w:sz w:val="32"/>
          <w:szCs w:val="32"/>
        </w:rPr>
      </w:pPr>
    </w:p>
    <w:p>
      <w:pPr>
        <w:pStyle w:val="15"/>
        <w:ind w:firstLineChars="100" w:firstLine="1120"/>
        <w:rPr>
          <w:rFonts w:cs="方正仿宋_GBK" w:hint="eastAsia"/>
          <w:b/>
          <w:bCs/>
          <w:sz w:val="112"/>
          <w:szCs w:val="112"/>
          <w:lang w:val="en-US" w:eastAsia="zh-CN"/>
        </w:rPr>
      </w:pPr>
    </w:p>
    <w:p>
      <w:pPr>
        <w:pStyle w:val="15"/>
        <w:ind w:firstLineChars="100" w:firstLine="1120"/>
        <w:rPr>
          <w:rFonts w:cs="方正仿宋_GBK" w:hint="eastAsia"/>
          <w:b/>
          <w:bCs/>
          <w:sz w:val="112"/>
          <w:szCs w:val="112"/>
          <w:lang w:val="en-US" w:eastAsia="zh-CN"/>
        </w:rPr>
      </w:pPr>
    </w:p>
    <w:p>
      <w:pPr>
        <w:pStyle w:val="15"/>
        <w:ind w:firstLineChars="100" w:firstLine="1120"/>
        <w:rPr>
          <w:rFonts w:cs="方正仿宋_GBK" w:hint="eastAsia"/>
          <w:b/>
          <w:bCs/>
          <w:sz w:val="112"/>
          <w:szCs w:val="112"/>
          <w:lang w:val="en-US" w:eastAsia="zh-CN"/>
        </w:rPr>
      </w:pPr>
    </w:p>
    <w:p>
      <w:pPr>
        <w:pStyle w:val="15"/>
        <w:ind w:firstLineChars="100" w:firstLine="1120"/>
        <w:rPr>
          <w:rFonts w:cs="方正仿宋_GBK" w:hint="eastAsia"/>
          <w:b/>
          <w:bCs/>
          <w:sz w:val="112"/>
          <w:szCs w:val="112"/>
          <w:lang w:val="en-US" w:eastAsia="zh-CN"/>
        </w:rPr>
      </w:pPr>
    </w:p>
    <w:p>
      <w:pPr>
        <w:autoSpaceDN w:val="0"/>
        <w:spacing w:line="560" w:lineRule="exact"/>
        <w:ind w:left="0" w:firstLineChars="300" w:firstLine="1560"/>
        <w:rPr>
          <w:rFonts w:eastAsia="方正黑体_GBK" w:cs="方正黑体_GBK" w:hint="eastAsia"/>
          <w:sz w:val="52"/>
          <w:szCs w:val="52"/>
          <w:lang w:val="en-US" w:eastAsia="zh-CN"/>
        </w:rPr>
      </w:pPr>
    </w:p>
    <w:p>
      <w:pPr>
        <w:autoSpaceDN w:val="0"/>
        <w:spacing w:line="560" w:lineRule="exact"/>
        <w:ind w:left="0" w:firstLineChars="400" w:firstLine="2080"/>
        <w:rPr>
          <w:rFonts w:eastAsia="方正黑体_GBK" w:cs="方正黑体_GBK" w:hint="eastAsia"/>
          <w:sz w:val="52"/>
          <w:szCs w:val="52"/>
          <w:lang w:eastAsia="zh-CN"/>
        </w:rPr>
      </w:pPr>
      <w:r>
        <w:rPr>
          <w:rFonts w:eastAsia="方正黑体_GBK" w:cs="方正黑体_GBK" w:hint="eastAsia"/>
          <w:sz w:val="52"/>
          <w:szCs w:val="52"/>
          <w:lang w:val="en-US" w:eastAsia="zh-CN"/>
        </w:rPr>
        <w:t xml:space="preserve">第五部分    </w:t>
      </w:r>
      <w:r>
        <w:rPr>
          <w:rFonts w:eastAsia="方正黑体_GBK" w:cs="方正黑体_GBK" w:hint="eastAsia"/>
          <w:sz w:val="52"/>
          <w:szCs w:val="52"/>
          <w:lang w:eastAsia="zh-CN"/>
        </w:rPr>
        <w:t>附件</w:t>
      </w:r>
    </w:p>
    <w:p>
      <w:pPr>
        <w:pStyle w:val="15"/>
        <w:widowControl w:val="0"/>
        <w:jc w:val="both"/>
        <w:rPr>
          <w:rFonts w:hint="eastAsia"/>
          <w:lang w:eastAsia="zh-CN"/>
        </w:rPr>
      </w:pPr>
    </w:p>
    <w:p>
      <w:pPr>
        <w:pStyle w:val="15"/>
        <w:widowControl w:val="0"/>
        <w:jc w:val="both"/>
        <w:rPr>
          <w:rFonts w:hint="eastAsia"/>
          <w:lang w:eastAsia="zh-CN"/>
        </w:rPr>
      </w:pPr>
    </w:p>
    <w:p>
      <w:pPr>
        <w:pStyle w:val="15"/>
        <w:widowControl w:val="0"/>
        <w:jc w:val="both"/>
        <w:rPr>
          <w:rFonts w:hint="eastAsia"/>
          <w:lang w:eastAsia="zh-CN"/>
        </w:rPr>
      </w:pPr>
    </w:p>
    <w:p>
      <w:pPr>
        <w:pStyle w:val="15"/>
        <w:widowControl w:val="0"/>
        <w:jc w:val="both"/>
        <w:rPr>
          <w:rFonts w:hint="eastAsia"/>
          <w:lang w:eastAsia="zh-CN"/>
        </w:rPr>
      </w:pPr>
    </w:p>
    <w:p>
      <w:pPr>
        <w:pStyle w:val="15"/>
        <w:widowControl w:val="0"/>
        <w:jc w:val="both"/>
        <w:rPr>
          <w:rFonts w:hint="eastAsia"/>
          <w:lang w:eastAsia="zh-CN"/>
        </w:rPr>
      </w:pPr>
    </w:p>
    <w:p>
      <w:pPr>
        <w:pStyle w:val="15"/>
        <w:widowControl w:val="0"/>
        <w:jc w:val="both"/>
        <w:rPr>
          <w:rFonts w:hint="eastAsia"/>
          <w:lang w:eastAsia="zh-CN"/>
        </w:rPr>
      </w:pPr>
    </w:p>
    <w:p>
      <w:pPr>
        <w:pStyle w:val="15"/>
        <w:widowControl w:val="0"/>
        <w:jc w:val="both"/>
        <w:rPr>
          <w:rFonts w:hint="eastAsia"/>
          <w:lang w:eastAsia="zh-CN"/>
        </w:rPr>
      </w:pPr>
    </w:p>
    <w:p>
      <w:pPr>
        <w:pStyle w:val="15"/>
        <w:widowControl w:val="0"/>
        <w:jc w:val="both"/>
        <w:rPr>
          <w:rFonts w:hint="eastAsia"/>
          <w:lang w:eastAsia="zh-CN"/>
        </w:rPr>
      </w:pPr>
    </w:p>
    <w:p>
      <w:pPr>
        <w:pStyle w:val="15"/>
        <w:widowControl w:val="0"/>
        <w:jc w:val="both"/>
        <w:rPr>
          <w:rFonts w:hint="eastAsia"/>
          <w:lang w:eastAsia="zh-CN"/>
        </w:rPr>
      </w:pPr>
    </w:p>
    <w:p>
      <w:pPr>
        <w:pStyle w:val="15"/>
        <w:widowControl w:val="0"/>
        <w:jc w:val="both"/>
        <w:rPr>
          <w:rFonts w:hint="eastAsia"/>
          <w:lang w:eastAsia="zh-CN"/>
        </w:rPr>
      </w:pPr>
    </w:p>
    <w:p>
      <w:pPr>
        <w:pStyle w:val="15"/>
        <w:widowControl w:val="0"/>
        <w:jc w:val="both"/>
        <w:rPr>
          <w:rFonts w:hint="eastAsia"/>
          <w:lang w:eastAsia="zh-CN"/>
        </w:rPr>
      </w:pPr>
    </w:p>
    <w:p>
      <w:pPr>
        <w:pStyle w:val="15"/>
        <w:widowControl w:val="0"/>
        <w:jc w:val="both"/>
        <w:rPr>
          <w:rFonts w:hint="eastAsia"/>
          <w:lang w:eastAsia="zh-CN"/>
        </w:rPr>
      </w:pPr>
    </w:p>
    <w:p>
      <w:pPr>
        <w:pStyle w:val="15"/>
        <w:widowControl w:val="0"/>
        <w:jc w:val="both"/>
        <w:rPr>
          <w:rFonts w:hint="eastAsia"/>
          <w:lang w:eastAsia="zh-CN"/>
        </w:rPr>
      </w:pPr>
    </w:p>
    <w:p>
      <w:pPr>
        <w:pStyle w:val="15"/>
        <w:widowControl w:val="0"/>
        <w:jc w:val="both"/>
        <w:rPr>
          <w:rFonts w:hint="eastAsia"/>
          <w:lang w:eastAsia="zh-CN"/>
        </w:rPr>
      </w:pPr>
    </w:p>
    <w:p>
      <w:pPr>
        <w:pStyle w:val="15"/>
        <w:widowControl w:val="0"/>
        <w:jc w:val="both"/>
        <w:rPr>
          <w:rFonts w:hint="eastAsia"/>
          <w:lang w:eastAsia="zh-CN"/>
        </w:rPr>
      </w:pPr>
    </w:p>
    <w:p>
      <w:pPr>
        <w:pStyle w:val="15"/>
        <w:widowControl w:val="0"/>
        <w:jc w:val="both"/>
        <w:rPr>
          <w:rFonts w:hint="eastAsia"/>
          <w:lang w:eastAsia="zh-CN"/>
        </w:rPr>
      </w:pPr>
    </w:p>
    <w:p>
      <w:pPr>
        <w:pStyle w:val="15"/>
        <w:widowControl w:val="0"/>
        <w:jc w:val="both"/>
        <w:rPr>
          <w:rFonts w:hint="eastAsia"/>
          <w:lang w:eastAsia="zh-CN"/>
        </w:rPr>
      </w:pPr>
    </w:p>
    <w:p>
      <w:pPr>
        <w:pStyle w:val="15"/>
        <w:widowControl w:val="0"/>
        <w:jc w:val="both"/>
        <w:rPr>
          <w:rFonts w:hint="eastAsia"/>
          <w:lang w:eastAsia="zh-CN"/>
        </w:rPr>
      </w:pPr>
    </w:p>
    <w:p>
      <w:pPr>
        <w:pStyle w:val="15"/>
        <w:widowControl w:val="0"/>
        <w:jc w:val="both"/>
        <w:rPr>
          <w:rFonts w:hint="eastAsia"/>
          <w:lang w:eastAsia="zh-CN"/>
        </w:rPr>
      </w:pPr>
    </w:p>
    <w:p>
      <w:pPr>
        <w:pStyle w:val="15"/>
        <w:widowControl w:val="0"/>
        <w:jc w:val="both"/>
        <w:rPr>
          <w:rFonts w:hint="eastAsia"/>
          <w:lang w:eastAsia="zh-CN"/>
        </w:rPr>
      </w:pPr>
    </w:p>
    <w:p>
      <w:pPr>
        <w:pStyle w:val="15"/>
        <w:widowControl w:val="0"/>
        <w:jc w:val="both"/>
        <w:rPr>
          <w:rFonts w:hint="eastAsia"/>
          <w:lang w:eastAsia="zh-CN"/>
        </w:rPr>
      </w:pPr>
    </w:p>
    <w:p>
      <w:pPr>
        <w:pStyle w:val="15"/>
        <w:widowControl w:val="0"/>
        <w:jc w:val="both"/>
        <w:rPr>
          <w:rFonts w:hint="eastAsia"/>
          <w:lang w:eastAsia="zh-CN"/>
        </w:rPr>
      </w:pPr>
    </w:p>
    <w:tbl>
      <w:tblPr>
        <w:tblpPr w:leftFromText="180" w:rightFromText="180" w:vertAnchor="text" w:horzAnchor="page" w:tblpX="646" w:tblpY="625"/>
        <w:tblOverlap w:val="never"/>
        <w:tblW w:w="10682"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00"/>
        <w:gridCol w:w="1104"/>
        <w:gridCol w:w="1448"/>
        <w:gridCol w:w="892"/>
        <w:gridCol w:w="1104"/>
        <w:gridCol w:w="1104"/>
        <w:gridCol w:w="1728"/>
        <w:gridCol w:w="576"/>
        <w:gridCol w:w="666"/>
        <w:gridCol w:w="780"/>
        <w:gridCol w:w="780"/>
      </w:tblGrid>
      <w:tr>
        <w:trPr>
          <w:trHeight w:val="420"/>
        </w:trPr>
        <w:tc>
          <w:tcPr>
            <w:tcW w:w="10682"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海关资产及专用设备运行维护费项目绩效自评表</w:t>
            </w:r>
          </w:p>
        </w:tc>
      </w:tr>
      <w:tr>
        <w:trPr>
          <w:trHeight w:val="288"/>
        </w:trPr>
        <w:tc>
          <w:tcPr>
            <w:tcW w:w="10682"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（2025年度）</w:t>
            </w:r>
          </w:p>
        </w:tc>
      </w:tr>
      <w:tr>
        <w:trPr>
          <w:trHeight w:val="264"/>
        </w:trPr>
        <w:tc>
          <w:tcPr>
            <w:tcW w:w="500" w:type="dxa"/>
            <w:tcBorders>
              <w:top w:val="nil"/>
              <w:left w:val="nil"/>
              <w:bottom w:val="nil"/>
              <w:right w:val="nil"/>
            </w:tcBorders>
            <w:shd w:val="clear" w:color="auto" w:fill="auto"/>
            <w:noWrap/>
            <w:vAlign w:val="bottom"/>
          </w:tcPr>
          <w:p>
            <w:pPr>
              <w:rPr>
                <w:rFonts w:ascii="Arial" w:cs="Arial" w:hAnsi="Arial" w:hint="eastAsia"/>
                <w:i w:val="0"/>
                <w:iCs w:val="0"/>
                <w:color w:val="000000"/>
                <w:sz w:val="20"/>
                <w:szCs w:val="20"/>
                <w:u w:val="none"/>
              </w:rPr>
            </w:pPr>
          </w:p>
        </w:tc>
        <w:tc>
          <w:tcPr>
            <w:tcW w:w="1104"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448"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892"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104"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104"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728"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576"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666"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80"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80"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r>
      <w:tr>
        <w:trPr>
          <w:trHeight w:val="380"/>
        </w:trPr>
        <w:tc>
          <w:tcPr>
            <w:tcW w:w="16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项目名称</w:t>
            </w:r>
          </w:p>
        </w:tc>
        <w:tc>
          <w:tcPr>
            <w:tcW w:w="907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海关资产及专用设备运行维护费</w:t>
            </w:r>
          </w:p>
        </w:tc>
      </w:tr>
      <w:tr>
        <w:trPr>
          <w:trHeight w:val="380"/>
        </w:trPr>
        <w:tc>
          <w:tcPr>
            <w:tcW w:w="16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主管部门</w:t>
            </w:r>
          </w:p>
        </w:tc>
        <w:tc>
          <w:tcPr>
            <w:tcW w:w="344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[167] 海关总署</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实施单位</w:t>
            </w:r>
          </w:p>
        </w:tc>
        <w:tc>
          <w:tcPr>
            <w:tcW w:w="453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中华人民共和国额布都格海关</w:t>
            </w:r>
          </w:p>
        </w:tc>
      </w:tr>
      <w:tr>
        <w:trPr>
          <w:trHeight w:val="380"/>
        </w:trPr>
        <w:tc>
          <w:tcPr>
            <w:tcW w:w="16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项目资金</w:t>
              <w:br/>
              <w:t>（万元）</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年初预算数</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全年预算数</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全年执行数</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分值</w:t>
            </w:r>
          </w:p>
        </w:tc>
        <w:tc>
          <w:tcPr>
            <w:tcW w:w="1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执行率</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得分</w:t>
            </w:r>
          </w:p>
        </w:tc>
      </w:tr>
      <w:tr>
        <w:trPr>
          <w:trHeight w:val="380"/>
        </w:trPr>
        <w:tc>
          <w:tcPr>
            <w:tcW w:w="160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年度资金总额：</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r>
      <w:tr>
        <w:trPr>
          <w:trHeight w:val="380"/>
        </w:trPr>
        <w:tc>
          <w:tcPr>
            <w:tcW w:w="160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其中：财政拨款</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160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40"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上年结转</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160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其他资金 </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5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w:t>
              <w:br/>
              <w:t>度</w:t>
              <w:br/>
              <w:t>总</w:t>
              <w:br/>
              <w:t>体</w:t>
              <w:br/>
              <w:t>目</w:t>
              <w:br/>
              <w:t>标</w:t>
            </w:r>
          </w:p>
        </w:tc>
        <w:tc>
          <w:tcPr>
            <w:tcW w:w="565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预期目标</w:t>
            </w:r>
          </w:p>
        </w:tc>
        <w:tc>
          <w:tcPr>
            <w:tcW w:w="453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实际完成情况</w:t>
            </w:r>
          </w:p>
        </w:tc>
      </w:tr>
      <w:tr>
        <w:trPr>
          <w:trHeight w:val="1902"/>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52" w:type="dxa"/>
            <w:gridSpan w:val="5"/>
            <w:tcBorders>
              <w:top w:val="single" w:sz="4" w:space="0" w:color="000000"/>
              <w:left w:val="single" w:sz="4" w:space="0" w:color="000000"/>
              <w:bottom w:val="single" w:sz="4" w:space="0" w:color="000000"/>
              <w:right w:val="single" w:sz="4" w:space="0" w:color="000000"/>
            </w:tcBorders>
            <w:shd w:val="clear" w:color="auto" w:fill="auto"/>
          </w:tcPr>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目标:通过各类装备、设备的运维，提高海关监管工作效率，提升海关监管科技含量，提升海关装备设备现代化、科技化水平，优化海关缉监管与服务.</w:t>
            </w:r>
          </w:p>
        </w:tc>
        <w:tc>
          <w:tcPr>
            <w:tcW w:w="4530" w:type="dxa"/>
            <w:gridSpan w:val="5"/>
            <w:tcBorders>
              <w:top w:val="single" w:sz="4" w:space="0" w:color="000000"/>
              <w:left w:val="single" w:sz="4" w:space="0" w:color="000000"/>
              <w:bottom w:val="single" w:sz="4" w:space="0" w:color="000000"/>
              <w:right w:val="single" w:sz="4" w:space="0" w:color="000000"/>
            </w:tcBorders>
            <w:shd w:val="clear" w:color="auto" w:fill="auto"/>
          </w:tcPr>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保障额布都格口岸视频监控98个，全年监控在线率超92%，视频监控使用率为95%。保障口岸卫检查验通道设备、入境医学排查室负压设施、卫检通道等工作设备的运行维护。</w:t>
            </w:r>
          </w:p>
        </w:tc>
      </w:tr>
      <w:tr>
        <w:trPr>
          <w:trHeight w:val="540"/>
        </w:trPr>
        <w:tc>
          <w:tcPr>
            <w:tcW w:w="5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绩</w:t>
              <w:br/>
              <w:t>效</w:t>
              <w:br/>
              <w:t>指</w:t>
              <w:br/>
              <w:t>标</w:t>
            </w:r>
          </w:p>
        </w:tc>
        <w:tc>
          <w:tcPr>
            <w:tcW w:w="1104"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一级指标</w:t>
            </w:r>
          </w:p>
        </w:tc>
        <w:tc>
          <w:tcPr>
            <w:tcW w:w="14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二级指标</w:t>
            </w:r>
          </w:p>
        </w:tc>
        <w:tc>
          <w:tcPr>
            <w:tcW w:w="1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三级指标</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年度指标值</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实际完成值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分值</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得分</w:t>
            </w:r>
          </w:p>
        </w:tc>
        <w:tc>
          <w:tcPr>
            <w:tcW w:w="1560" w:type="dxa"/>
            <w:gridSpan w:val="2"/>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偏差原因分析及</w:t>
              <w:br/>
              <w:t>改进措施</w:t>
            </w:r>
          </w:p>
        </w:tc>
      </w:tr>
      <w:tr>
        <w:trPr>
          <w:trHeight w:val="380"/>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4" w:type="dxa"/>
            <w:vMerge w:val="restart"/>
            <w:tcBorders>
              <w:top w:val="single" w:sz="4" w:space="0" w:color="000000"/>
              <w:left w:val="nil"/>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产出指标</w:t>
            </w:r>
          </w:p>
        </w:tc>
        <w:tc>
          <w:tcPr>
            <w:tcW w:w="14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数量指标</w:t>
            </w:r>
          </w:p>
        </w:tc>
        <w:tc>
          <w:tcPr>
            <w:tcW w:w="1996"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设备维护数</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≥60.00个</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104.00个</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25</w:t>
            </w:r>
          </w:p>
        </w:tc>
        <w:tc>
          <w:tcPr>
            <w:tcW w:w="66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25.0</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4" w:type="dxa"/>
            <w:vMerge/>
            <w:tcBorders>
              <w:top w:val="nil"/>
              <w:left w:val="nil"/>
              <w:bottom w:val="single" w:sz="4" w:space="0" w:color="000000"/>
              <w:right w:val="single" w:sz="4" w:space="0" w:color="000000"/>
            </w:tcBorders>
            <w:shd w:val="clear" w:color="auto" w:fill="auto"/>
            <w:vAlign w:val="center"/>
          </w:tcPr>
          <w:p/>
        </w:tc>
        <w:tc>
          <w:tcPr>
            <w:tcW w:w="14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质量指标</w:t>
            </w:r>
          </w:p>
        </w:tc>
        <w:tc>
          <w:tcPr>
            <w:tcW w:w="1996"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设备正常使用率</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≥90.00%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92.00%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25</w:t>
            </w:r>
          </w:p>
        </w:tc>
        <w:tc>
          <w:tcPr>
            <w:tcW w:w="66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25.0</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4"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效益指标</w:t>
            </w:r>
          </w:p>
        </w:tc>
        <w:tc>
          <w:tcPr>
            <w:tcW w:w="14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社会效益指标</w:t>
            </w:r>
          </w:p>
        </w:tc>
        <w:tc>
          <w:tcPr>
            <w:tcW w:w="1996"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设备有效利用率</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95.00%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40</w:t>
            </w:r>
          </w:p>
        </w:tc>
        <w:tc>
          <w:tcPr>
            <w:tcW w:w="66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40.0</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440"/>
        </w:trPr>
        <w:tc>
          <w:tcPr>
            <w:tcW w:w="7880" w:type="dxa"/>
            <w:gridSpan w:val="7"/>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总分</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w:t>
            </w:r>
          </w:p>
        </w:tc>
        <w:tc>
          <w:tcPr>
            <w:tcW w:w="1560" w:type="dxa"/>
            <w:gridSpan w:val="2"/>
            <w:tcBorders>
              <w:top w:val="nil"/>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1068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说明：</w:t>
            </w:r>
          </w:p>
        </w:tc>
      </w:tr>
    </w:tbl>
    <w:p>
      <w:pPr>
        <w:pStyle w:val="15"/>
        <w:ind w:firstLineChars="100" w:firstLine="1120"/>
        <w:rPr>
          <w:rFonts w:cs="方正仿宋_GBK" w:hint="eastAsia"/>
          <w:b/>
          <w:bCs/>
          <w:sz w:val="112"/>
          <w:szCs w:val="112"/>
          <w:lang w:val="en-US" w:eastAsia="zh-CN"/>
        </w:rPr>
      </w:pPr>
    </w:p>
    <w:p>
      <w:pPr>
        <w:pStyle w:val="15"/>
      </w:pPr>
    </w:p>
    <w:p>
      <w:pPr>
        <w:pStyle w:val="15"/>
      </w:pPr>
    </w:p>
    <w:p>
      <w:pPr>
        <w:pStyle w:val="15"/>
      </w:pPr>
    </w:p>
    <w:p>
      <w:pPr>
        <w:pStyle w:val="15"/>
      </w:pPr>
    </w:p>
    <w:p>
      <w:pPr>
        <w:pStyle w:val="15"/>
      </w:pPr>
    </w:p>
    <w:p>
      <w:pPr>
        <w:pStyle w:val="15"/>
      </w:pPr>
    </w:p>
    <w:p>
      <w:pPr>
        <w:pStyle w:val="15"/>
      </w:pPr>
    </w:p>
    <w:tbl>
      <w:tblPr>
        <w:tblpPr w:leftFromText="180" w:rightFromText="180" w:vertAnchor="text" w:horzAnchor="page" w:tblpX="1093" w:tblpY="207"/>
        <w:tblOverlap w:val="never"/>
        <w:tblW w:w="10682"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00"/>
        <w:gridCol w:w="1104"/>
        <w:gridCol w:w="1449"/>
        <w:gridCol w:w="891"/>
        <w:gridCol w:w="1104"/>
        <w:gridCol w:w="1104"/>
        <w:gridCol w:w="1728"/>
        <w:gridCol w:w="576"/>
        <w:gridCol w:w="666"/>
        <w:gridCol w:w="780"/>
        <w:gridCol w:w="780"/>
      </w:tblGrid>
      <w:tr>
        <w:trPr>
          <w:trHeight w:val="420"/>
        </w:trPr>
        <w:tc>
          <w:tcPr>
            <w:tcW w:w="10682"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海关业务保障及能力提升专项项目绩效自评表</w:t>
            </w:r>
          </w:p>
        </w:tc>
      </w:tr>
      <w:tr>
        <w:trPr>
          <w:trHeight w:val="288"/>
        </w:trPr>
        <w:tc>
          <w:tcPr>
            <w:tcW w:w="10682"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（2025年度）</w:t>
            </w:r>
          </w:p>
        </w:tc>
      </w:tr>
      <w:tr>
        <w:trPr>
          <w:trHeight w:val="264"/>
        </w:trPr>
        <w:tc>
          <w:tcPr>
            <w:tcW w:w="500" w:type="dxa"/>
            <w:tcBorders>
              <w:top w:val="nil"/>
              <w:left w:val="nil"/>
              <w:bottom w:val="nil"/>
              <w:right w:val="nil"/>
            </w:tcBorders>
            <w:shd w:val="clear" w:color="auto" w:fill="auto"/>
            <w:noWrap/>
            <w:vAlign w:val="bottom"/>
          </w:tcPr>
          <w:p>
            <w:pPr>
              <w:rPr>
                <w:rFonts w:ascii="Arial" w:cs="Arial" w:hAnsi="Arial" w:hint="eastAsia"/>
                <w:i w:val="0"/>
                <w:iCs w:val="0"/>
                <w:color w:val="000000"/>
                <w:sz w:val="20"/>
                <w:szCs w:val="20"/>
                <w:u w:val="none"/>
              </w:rPr>
            </w:pPr>
          </w:p>
        </w:tc>
        <w:tc>
          <w:tcPr>
            <w:tcW w:w="1104"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449"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89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104"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104"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728"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576"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666"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80"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80"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r>
      <w:tr>
        <w:trPr>
          <w:trHeight w:val="380"/>
        </w:trPr>
        <w:tc>
          <w:tcPr>
            <w:tcW w:w="16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项目名称</w:t>
            </w:r>
          </w:p>
        </w:tc>
        <w:tc>
          <w:tcPr>
            <w:tcW w:w="907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海关业务保障及能力提升专项</w:t>
            </w:r>
          </w:p>
        </w:tc>
      </w:tr>
      <w:tr>
        <w:trPr>
          <w:trHeight w:val="380"/>
        </w:trPr>
        <w:tc>
          <w:tcPr>
            <w:tcW w:w="16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主管部门</w:t>
            </w:r>
          </w:p>
        </w:tc>
        <w:tc>
          <w:tcPr>
            <w:tcW w:w="344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[167] 海关总署</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实施单位</w:t>
            </w:r>
          </w:p>
        </w:tc>
        <w:tc>
          <w:tcPr>
            <w:tcW w:w="453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中华人民共和国额布都格海关</w:t>
            </w:r>
          </w:p>
        </w:tc>
      </w:tr>
      <w:tr>
        <w:trPr>
          <w:trHeight w:val="380"/>
        </w:trPr>
        <w:tc>
          <w:tcPr>
            <w:tcW w:w="16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项目资金</w:t>
              <w:br/>
              <w:t>（万元）</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年初预算数</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全年预算数</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全年执行数</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分值</w:t>
            </w:r>
          </w:p>
        </w:tc>
        <w:tc>
          <w:tcPr>
            <w:tcW w:w="1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执行率</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得分</w:t>
            </w:r>
          </w:p>
        </w:tc>
      </w:tr>
      <w:tr>
        <w:trPr>
          <w:trHeight w:val="380"/>
        </w:trPr>
        <w:tc>
          <w:tcPr>
            <w:tcW w:w="160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年度资金总额：</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28.00</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28.00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28.00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r>
      <w:tr>
        <w:trPr>
          <w:trHeight w:val="380"/>
        </w:trPr>
        <w:tc>
          <w:tcPr>
            <w:tcW w:w="160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其中：财政拨款</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28.00</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28.00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28.00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160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40"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上年结转</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160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其他资金 </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5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w:t>
              <w:br/>
              <w:t>度</w:t>
              <w:br/>
              <w:t>总</w:t>
              <w:br/>
              <w:t>体</w:t>
              <w:br/>
              <w:t>目</w:t>
              <w:br/>
              <w:t>标</w:t>
            </w:r>
          </w:p>
        </w:tc>
        <w:tc>
          <w:tcPr>
            <w:tcW w:w="565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预期目标</w:t>
            </w:r>
          </w:p>
        </w:tc>
        <w:tc>
          <w:tcPr>
            <w:tcW w:w="453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实际完成情况</w:t>
            </w:r>
          </w:p>
        </w:tc>
      </w:tr>
      <w:tr>
        <w:trPr>
          <w:trHeight w:val="1902"/>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52" w:type="dxa"/>
            <w:gridSpan w:val="5"/>
            <w:tcBorders>
              <w:top w:val="single" w:sz="4" w:space="0" w:color="000000"/>
              <w:left w:val="single" w:sz="4" w:space="0" w:color="000000"/>
              <w:bottom w:val="single" w:sz="4" w:space="0" w:color="000000"/>
              <w:right w:val="single" w:sz="4" w:space="0" w:color="000000"/>
            </w:tcBorders>
            <w:shd w:val="clear" w:color="auto" w:fill="auto"/>
          </w:tcPr>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通过保障额布都格海关业务开展和能力提升所需相关支出及公务用车运行维护费的支出，从而实现提升海关检验检疫水平，进一步提升海关行政执法能力和执法水平。</w:t>
              <w:br/>
              <w:t>目标1：加强额布都格海关队伍建设水平，进一步提升执法能力及水平。</w:t>
              <w:br/>
              <w:t>目标2：保障本关区开展执法业务所需的公务用车运行费用；</w:t>
              <w:br/>
              <w:t>目标3：主动作为、强化沟通、主动服务，推动本关区范围内企业进出口贸易发展。通过保障额布都格海关业务开展和能力提升所需相关支出及公务用车运行维护费的支出，从而实现提升海关检验检疫水平，进一步提升海关行政执法能力和执法水平。</w:t>
              <w:br/>
              <w:t>目标1：加强额布都格海关队伍建设水平，进一步提升执法能力及水平。</w:t>
              <w:br/>
              <w:t>目标2：保障本关区开展执法业务所需的公务用车运行费用；</w:t>
              <w:br/>
              <w:t>目标3：主动作为、强化沟通、主动服务，推动本关区范围内企业进出口贸易发展。</w:t>
            </w:r>
          </w:p>
        </w:tc>
        <w:tc>
          <w:tcPr>
            <w:tcW w:w="4530" w:type="dxa"/>
            <w:gridSpan w:val="5"/>
            <w:tcBorders>
              <w:top w:val="single" w:sz="4" w:space="0" w:color="000000"/>
              <w:left w:val="single" w:sz="4" w:space="0" w:color="000000"/>
              <w:bottom w:val="single" w:sz="4" w:space="0" w:color="000000"/>
              <w:right w:val="single" w:sz="4" w:space="0" w:color="000000"/>
            </w:tcBorders>
            <w:shd w:val="clear" w:color="auto" w:fill="auto"/>
          </w:tcPr>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2025年保障业务用车246次，行驶里程超5.5万公里，保障关员业务用车超500人次。3辆执法执勤车辆2025年均正常使用运转，正常使用率为100%。</w:t>
              <w:br/>
              <w:t>保障额布都格海关业务支撑保障所聘用的合同工相关支出。</w:t>
            </w:r>
          </w:p>
        </w:tc>
      </w:tr>
      <w:tr>
        <w:trPr>
          <w:trHeight w:val="540"/>
        </w:trPr>
        <w:tc>
          <w:tcPr>
            <w:tcW w:w="5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绩</w:t>
              <w:br/>
              <w:t>效</w:t>
              <w:br/>
              <w:t>指</w:t>
              <w:br/>
              <w:t>标</w:t>
            </w:r>
          </w:p>
        </w:tc>
        <w:tc>
          <w:tcPr>
            <w:tcW w:w="1104"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一级指标</w:t>
            </w:r>
          </w:p>
        </w:tc>
        <w:tc>
          <w:tcPr>
            <w:tcW w:w="1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二级指标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三级指标</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年度指标值</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实际完成值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分值</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得分</w:t>
            </w:r>
          </w:p>
        </w:tc>
        <w:tc>
          <w:tcPr>
            <w:tcW w:w="1560" w:type="dxa"/>
            <w:gridSpan w:val="2"/>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偏差原因分析及</w:t>
              <w:br/>
              <w:t>改进措施</w:t>
            </w:r>
          </w:p>
        </w:tc>
      </w:tr>
      <w:tr>
        <w:trPr>
          <w:trHeight w:val="380"/>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4" w:type="dxa"/>
            <w:tcBorders>
              <w:top w:val="single" w:sz="4" w:space="0" w:color="000000"/>
              <w:left w:val="nil"/>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成本指标</w:t>
            </w:r>
          </w:p>
        </w:tc>
        <w:tc>
          <w:tcPr>
            <w:tcW w:w="1449"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经济成本指标</w:t>
            </w:r>
          </w:p>
        </w:tc>
        <w:tc>
          <w:tcPr>
            <w:tcW w:w="1995"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公车运维成本</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≤9万元</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9.00万元</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w:t>
            </w:r>
          </w:p>
        </w:tc>
        <w:tc>
          <w:tcPr>
            <w:tcW w:w="66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20.0</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4" w:type="dxa"/>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产出指标</w:t>
            </w:r>
          </w:p>
        </w:tc>
        <w:tc>
          <w:tcPr>
            <w:tcW w:w="1449" w:type="dxa"/>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数量指标</w:t>
            </w:r>
          </w:p>
        </w:tc>
        <w:tc>
          <w:tcPr>
            <w:tcW w:w="1995"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保障执法执勤用车</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≥3辆</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3.00辆</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w:t>
            </w:r>
          </w:p>
        </w:tc>
        <w:tc>
          <w:tcPr>
            <w:tcW w:w="66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20.0</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4" w:type="dxa"/>
            <w:vMerge/>
            <w:tcBorders>
              <w:top w:val="single" w:sz="4" w:space="0" w:color="000000"/>
              <w:left w:val="nil"/>
              <w:bottom w:val="single" w:sz="4" w:space="0" w:color="000000"/>
              <w:right w:val="single" w:sz="4" w:space="0" w:color="000000"/>
            </w:tcBorders>
            <w:shd w:val="clear" w:color="auto" w:fill="auto"/>
            <w:vAlign w:val="center"/>
          </w:tcPr>
          <w:p/>
        </w:tc>
        <w:tc>
          <w:tcPr>
            <w:tcW w:w="1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质量指标</w:t>
            </w:r>
          </w:p>
        </w:tc>
        <w:tc>
          <w:tcPr>
            <w:tcW w:w="1995"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公务车辆正常使用率</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w:t>
            </w:r>
          </w:p>
        </w:tc>
        <w:tc>
          <w:tcPr>
            <w:tcW w:w="66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20.0</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4"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效益指标</w:t>
            </w:r>
          </w:p>
        </w:tc>
        <w:tc>
          <w:tcPr>
            <w:tcW w:w="1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社会效益指标</w:t>
            </w:r>
          </w:p>
        </w:tc>
        <w:tc>
          <w:tcPr>
            <w:tcW w:w="1995"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海关业务工作保障率</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w:t>
            </w:r>
          </w:p>
        </w:tc>
        <w:tc>
          <w:tcPr>
            <w:tcW w:w="66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30.0</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440"/>
        </w:trPr>
        <w:tc>
          <w:tcPr>
            <w:tcW w:w="7880" w:type="dxa"/>
            <w:gridSpan w:val="7"/>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总分</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w:t>
            </w:r>
          </w:p>
        </w:tc>
        <w:tc>
          <w:tcPr>
            <w:tcW w:w="1560" w:type="dxa"/>
            <w:gridSpan w:val="2"/>
            <w:tcBorders>
              <w:top w:val="nil"/>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1068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说明：</w:t>
            </w:r>
          </w:p>
        </w:tc>
      </w:tr>
    </w:tbl>
    <w:p>
      <w:pPr>
        <w:pStyle w:val="15"/>
      </w:pPr>
    </w:p>
    <w:p>
      <w:pPr>
        <w:pStyle w:val="15"/>
      </w:pPr>
    </w:p>
    <w:p>
      <w:pPr>
        <w:pStyle w:val="15"/>
      </w:pPr>
    </w:p>
    <w:p>
      <w:pPr>
        <w:pStyle w:val="15"/>
      </w:pPr>
    </w:p>
    <w:p>
      <w:pPr>
        <w:pStyle w:val="15"/>
      </w:pPr>
    </w:p>
    <w:p>
      <w:pPr>
        <w:pStyle w:val="15"/>
      </w:pPr>
    </w:p>
    <w:p>
      <w:pPr>
        <w:pStyle w:val="15"/>
      </w:pPr>
    </w:p>
    <w:tbl>
      <w:tblPr>
        <w:tblpPr w:leftFromText="180" w:rightFromText="180" w:vertAnchor="text" w:horzAnchor="page" w:tblpX="987" w:tblpY="216"/>
        <w:tblOverlap w:val="never"/>
        <w:tblW w:w="10682"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00"/>
        <w:gridCol w:w="1104"/>
        <w:gridCol w:w="1449"/>
        <w:gridCol w:w="891"/>
        <w:gridCol w:w="1104"/>
        <w:gridCol w:w="1104"/>
        <w:gridCol w:w="1728"/>
        <w:gridCol w:w="576"/>
        <w:gridCol w:w="666"/>
        <w:gridCol w:w="780"/>
        <w:gridCol w:w="780"/>
      </w:tblGrid>
      <w:tr>
        <w:trPr>
          <w:trHeight w:val="420"/>
        </w:trPr>
        <w:tc>
          <w:tcPr>
            <w:tcW w:w="10682"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艰苦地区边关综合保障专项项目绩效自评表</w:t>
            </w:r>
          </w:p>
        </w:tc>
      </w:tr>
      <w:tr>
        <w:trPr>
          <w:trHeight w:val="288"/>
        </w:trPr>
        <w:tc>
          <w:tcPr>
            <w:tcW w:w="10682"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（2025年度）</w:t>
            </w:r>
          </w:p>
        </w:tc>
      </w:tr>
      <w:tr>
        <w:trPr>
          <w:trHeight w:val="264"/>
        </w:trPr>
        <w:tc>
          <w:tcPr>
            <w:tcW w:w="500" w:type="dxa"/>
            <w:tcBorders>
              <w:top w:val="nil"/>
              <w:left w:val="nil"/>
              <w:bottom w:val="nil"/>
              <w:right w:val="nil"/>
            </w:tcBorders>
            <w:shd w:val="clear" w:color="auto" w:fill="auto"/>
            <w:noWrap/>
            <w:vAlign w:val="bottom"/>
          </w:tcPr>
          <w:p>
            <w:pPr>
              <w:rPr>
                <w:rFonts w:ascii="Arial" w:cs="Arial" w:hAnsi="Arial" w:hint="eastAsia"/>
                <w:i w:val="0"/>
                <w:iCs w:val="0"/>
                <w:color w:val="000000"/>
                <w:sz w:val="20"/>
                <w:szCs w:val="20"/>
                <w:u w:val="none"/>
              </w:rPr>
            </w:pPr>
          </w:p>
        </w:tc>
        <w:tc>
          <w:tcPr>
            <w:tcW w:w="1104"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449"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89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104"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104"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728"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576"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666"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80"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80"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r>
      <w:tr>
        <w:trPr>
          <w:trHeight w:val="380"/>
        </w:trPr>
        <w:tc>
          <w:tcPr>
            <w:tcW w:w="16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项目名称</w:t>
            </w:r>
          </w:p>
        </w:tc>
        <w:tc>
          <w:tcPr>
            <w:tcW w:w="907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艰苦地区边关综合保障专项</w:t>
            </w:r>
          </w:p>
        </w:tc>
      </w:tr>
      <w:tr>
        <w:trPr>
          <w:trHeight w:val="380"/>
        </w:trPr>
        <w:tc>
          <w:tcPr>
            <w:tcW w:w="16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主管部门</w:t>
            </w:r>
          </w:p>
        </w:tc>
        <w:tc>
          <w:tcPr>
            <w:tcW w:w="344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[167] 海关总署</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实施单位</w:t>
            </w:r>
          </w:p>
        </w:tc>
        <w:tc>
          <w:tcPr>
            <w:tcW w:w="453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中华人民共和国额布都格海关</w:t>
            </w:r>
          </w:p>
        </w:tc>
      </w:tr>
      <w:tr>
        <w:trPr>
          <w:trHeight w:val="380"/>
        </w:trPr>
        <w:tc>
          <w:tcPr>
            <w:tcW w:w="16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项目资金</w:t>
              <w:br/>
              <w:t>（万元）</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年初预算数</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全年预算数</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全年执行数</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分值</w:t>
            </w:r>
          </w:p>
        </w:tc>
        <w:tc>
          <w:tcPr>
            <w:tcW w:w="1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执行率</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得分</w:t>
            </w:r>
          </w:p>
        </w:tc>
      </w:tr>
      <w:tr>
        <w:trPr>
          <w:trHeight w:val="380"/>
        </w:trPr>
        <w:tc>
          <w:tcPr>
            <w:tcW w:w="160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年度资金总额：</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47.08</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47.08</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47.08</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r>
      <w:tr>
        <w:trPr>
          <w:trHeight w:val="380"/>
        </w:trPr>
        <w:tc>
          <w:tcPr>
            <w:tcW w:w="160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其中：财政拨款</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47.08</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47.08</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47.08</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160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40"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上年结转</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160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其他资金 </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5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w:t>
              <w:br/>
              <w:t>度</w:t>
              <w:br/>
              <w:t>总</w:t>
              <w:br/>
              <w:t>体</w:t>
              <w:br/>
              <w:t>目</w:t>
              <w:br/>
              <w:t>标</w:t>
            </w:r>
          </w:p>
        </w:tc>
        <w:tc>
          <w:tcPr>
            <w:tcW w:w="565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预期目标</w:t>
            </w:r>
          </w:p>
        </w:tc>
        <w:tc>
          <w:tcPr>
            <w:tcW w:w="453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实际完成情况</w:t>
            </w:r>
          </w:p>
        </w:tc>
      </w:tr>
      <w:tr>
        <w:trPr>
          <w:trHeight w:val="1902"/>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52" w:type="dxa"/>
            <w:gridSpan w:val="5"/>
            <w:tcBorders>
              <w:top w:val="single" w:sz="4" w:space="0" w:color="000000"/>
              <w:left w:val="single" w:sz="4" w:space="0" w:color="000000"/>
              <w:bottom w:val="single" w:sz="4" w:space="0" w:color="000000"/>
              <w:right w:val="single" w:sz="4" w:space="0" w:color="000000"/>
            </w:tcBorders>
            <w:shd w:val="clear" w:color="auto" w:fill="auto"/>
          </w:tcPr>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通过开展保障职工（含退休）人员的健康体检、边关职工急救防护药品的充足供应、边关食堂管理费用的全额保障以及艰边地区海关民生设施运行维护、劳务等工作，从而实现保障艰边地区海关队伍建设的稳定性、保障艰边地区海关生活、工作等基础设施的建设，提升队伍整体精气神。目标1：改善艰苦地区边关工作、生活条件、保障职工身体健康状况，实现政治上关爱、工作上支持、生活中保障，不断提升队伍精神面貌，充分调动边关关员的工作积极性。目标2：给予艰苦地区边关更精准的政策倾斜和资金保障，逐步缩小目前艰苦地区边关与同地区戍边部队、边检等单位基础设施和工作生活条件保障差距。 通过开展保障职工（含退休）人员的健康体检、边关职工急救防护药品的充足供应、边关食堂管理费用的全额保障以及艰边地区海关民生设施运行维护、劳务等工作，从而实现保障艰边地区海关队伍建设的稳定性、保障艰边地区海关生活、工作等基础设施的建设，提升队伍整体精气神。</w:t>
            </w:r>
          </w:p>
        </w:tc>
        <w:tc>
          <w:tcPr>
            <w:tcW w:w="4530" w:type="dxa"/>
            <w:gridSpan w:val="5"/>
            <w:tcBorders>
              <w:top w:val="single" w:sz="4" w:space="0" w:color="000000"/>
              <w:left w:val="single" w:sz="4" w:space="0" w:color="000000"/>
              <w:bottom w:val="single" w:sz="4" w:space="0" w:color="000000"/>
              <w:right w:val="single" w:sz="4" w:space="0" w:color="000000"/>
            </w:tcBorders>
            <w:shd w:val="clear" w:color="auto" w:fill="auto"/>
          </w:tcPr>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保障关员体检26人，关员满意度达97%以上；</w:t>
              <w:br/>
              <w:t>保障食堂餐饮服务，为职工提供每日工作三餐等服务，服务满足全年就餐天数250日，日均达到26人就餐规模和服务需求。食堂运营方制定了规范的餐饮服务管理制度及操作规程；及时了解用餐需求，虚心听取用餐人员的意见建议；并不断增加花色品种，为职工提供成本价的工作餐；严把食材采购进货渠道，保障食材的鲜活质量；就餐员工满意率达98%以上。</w:t>
            </w:r>
          </w:p>
        </w:tc>
      </w:tr>
      <w:tr>
        <w:trPr>
          <w:trHeight w:val="540"/>
        </w:trPr>
        <w:tc>
          <w:tcPr>
            <w:tcW w:w="5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绩</w:t>
              <w:br/>
              <w:t>效</w:t>
              <w:br/>
              <w:t>指</w:t>
              <w:br/>
              <w:t>标</w:t>
            </w:r>
          </w:p>
        </w:tc>
        <w:tc>
          <w:tcPr>
            <w:tcW w:w="1104"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一级指标</w:t>
            </w:r>
          </w:p>
        </w:tc>
        <w:tc>
          <w:tcPr>
            <w:tcW w:w="1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二级指标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三级指标</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年度指标值</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实际完成值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分值</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得分</w:t>
            </w:r>
          </w:p>
        </w:tc>
        <w:tc>
          <w:tcPr>
            <w:tcW w:w="1560" w:type="dxa"/>
            <w:gridSpan w:val="2"/>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偏差原因分析及</w:t>
              <w:br/>
              <w:t>改进措施</w:t>
            </w:r>
          </w:p>
        </w:tc>
      </w:tr>
      <w:tr>
        <w:trPr>
          <w:trHeight w:val="380"/>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4"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产出指标</w:t>
            </w:r>
          </w:p>
        </w:tc>
        <w:tc>
          <w:tcPr>
            <w:tcW w:w="1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数量指标</w:t>
            </w:r>
          </w:p>
        </w:tc>
        <w:tc>
          <w:tcPr>
            <w:tcW w:w="1995"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保障关警员数量</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≥26人</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26.00人</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25</w:t>
            </w:r>
          </w:p>
        </w:tc>
        <w:tc>
          <w:tcPr>
            <w:tcW w:w="66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25.0</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4" w:type="dxa"/>
            <w:vMerge/>
            <w:tcBorders>
              <w:top w:val="single" w:sz="4" w:space="0" w:color="000000"/>
              <w:left w:val="nil"/>
              <w:bottom w:val="single" w:sz="4" w:space="0" w:color="000000"/>
              <w:right w:val="single" w:sz="4" w:space="0" w:color="000000"/>
            </w:tcBorders>
            <w:shd w:val="clear" w:color="auto" w:fill="auto"/>
            <w:vAlign w:val="center"/>
          </w:tcPr>
          <w:p/>
        </w:tc>
        <w:tc>
          <w:tcPr>
            <w:tcW w:w="1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质量指标</w:t>
            </w:r>
          </w:p>
        </w:tc>
        <w:tc>
          <w:tcPr>
            <w:tcW w:w="1995"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体检覆盖率</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≥95%</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25</w:t>
            </w:r>
          </w:p>
        </w:tc>
        <w:tc>
          <w:tcPr>
            <w:tcW w:w="66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25.0</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4"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效益指标</w:t>
            </w:r>
          </w:p>
        </w:tc>
        <w:tc>
          <w:tcPr>
            <w:tcW w:w="1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社会效益指标</w:t>
            </w:r>
          </w:p>
        </w:tc>
        <w:tc>
          <w:tcPr>
            <w:tcW w:w="1995"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保障艰苦地区边关数量</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1个</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1.00个</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w:t>
            </w:r>
          </w:p>
        </w:tc>
        <w:tc>
          <w:tcPr>
            <w:tcW w:w="66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30.0</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4"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满意度指标</w:t>
            </w:r>
          </w:p>
        </w:tc>
        <w:tc>
          <w:tcPr>
            <w:tcW w:w="1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服务对象</w:t>
              <w:br/>
              <w:t>满意度指标</w:t>
            </w:r>
          </w:p>
        </w:tc>
        <w:tc>
          <w:tcPr>
            <w:tcW w:w="1995"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关警员满意度</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≥95%</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97.00%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w:t>
            </w:r>
          </w:p>
        </w:tc>
        <w:tc>
          <w:tcPr>
            <w:tcW w:w="66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440"/>
        </w:trPr>
        <w:tc>
          <w:tcPr>
            <w:tcW w:w="7880" w:type="dxa"/>
            <w:gridSpan w:val="7"/>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总分</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w:t>
            </w:r>
          </w:p>
        </w:tc>
        <w:tc>
          <w:tcPr>
            <w:tcW w:w="1560" w:type="dxa"/>
            <w:gridSpan w:val="2"/>
            <w:tcBorders>
              <w:top w:val="nil"/>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1068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说明：</w:t>
            </w:r>
          </w:p>
        </w:tc>
      </w:tr>
    </w:tbl>
    <w:p>
      <w:pPr>
        <w:pStyle w:val="15"/>
      </w:pPr>
    </w:p>
    <w:p>
      <w:pPr>
        <w:pStyle w:val="15"/>
      </w:pPr>
    </w:p>
    <w:p>
      <w:pPr>
        <w:pStyle w:val="15"/>
      </w:pPr>
    </w:p>
    <w:p>
      <w:pPr>
        <w:pStyle w:val="15"/>
      </w:pPr>
    </w:p>
    <w:p>
      <w:pPr>
        <w:pStyle w:val="15"/>
      </w:pPr>
    </w:p>
    <w:p>
      <w:pPr>
        <w:pStyle w:val="15"/>
      </w:pPr>
    </w:p>
    <w:tbl>
      <w:tblPr>
        <w:tblpPr w:leftFromText="180" w:rightFromText="180" w:vertAnchor="text" w:horzAnchor="page" w:tblpX="917" w:tblpY="147"/>
        <w:tblOverlap w:val="never"/>
        <w:tblW w:w="10682"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00"/>
        <w:gridCol w:w="1104"/>
        <w:gridCol w:w="1449"/>
        <w:gridCol w:w="891"/>
        <w:gridCol w:w="1104"/>
        <w:gridCol w:w="1104"/>
        <w:gridCol w:w="1728"/>
        <w:gridCol w:w="576"/>
        <w:gridCol w:w="666"/>
        <w:gridCol w:w="780"/>
        <w:gridCol w:w="780"/>
      </w:tblGrid>
      <w:tr>
        <w:trPr>
          <w:trHeight w:val="420"/>
        </w:trPr>
        <w:tc>
          <w:tcPr>
            <w:tcW w:w="10682"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国门生物安全专项项目绩效自评表</w:t>
            </w:r>
          </w:p>
        </w:tc>
      </w:tr>
      <w:tr>
        <w:trPr>
          <w:trHeight w:val="288"/>
        </w:trPr>
        <w:tc>
          <w:tcPr>
            <w:tcW w:w="10682"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（2025年度）</w:t>
            </w:r>
          </w:p>
        </w:tc>
      </w:tr>
      <w:tr>
        <w:trPr>
          <w:trHeight w:val="264"/>
        </w:trPr>
        <w:tc>
          <w:tcPr>
            <w:tcW w:w="500" w:type="dxa"/>
            <w:tcBorders>
              <w:top w:val="nil"/>
              <w:left w:val="nil"/>
              <w:bottom w:val="nil"/>
              <w:right w:val="nil"/>
            </w:tcBorders>
            <w:shd w:val="clear" w:color="auto" w:fill="auto"/>
            <w:noWrap/>
            <w:vAlign w:val="bottom"/>
          </w:tcPr>
          <w:p>
            <w:pPr>
              <w:rPr>
                <w:rFonts w:ascii="Arial" w:cs="Arial" w:hAnsi="Arial" w:hint="eastAsia"/>
                <w:i w:val="0"/>
                <w:iCs w:val="0"/>
                <w:color w:val="000000"/>
                <w:sz w:val="20"/>
                <w:szCs w:val="20"/>
                <w:u w:val="none"/>
              </w:rPr>
            </w:pPr>
          </w:p>
        </w:tc>
        <w:tc>
          <w:tcPr>
            <w:tcW w:w="1104"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449"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89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104"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104"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728"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576"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666"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80"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80"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r>
      <w:tr>
        <w:trPr>
          <w:trHeight w:val="380"/>
        </w:trPr>
        <w:tc>
          <w:tcPr>
            <w:tcW w:w="16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项目名称</w:t>
            </w:r>
          </w:p>
        </w:tc>
        <w:tc>
          <w:tcPr>
            <w:tcW w:w="907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国门生物安全专项</w:t>
            </w:r>
          </w:p>
        </w:tc>
      </w:tr>
      <w:tr>
        <w:trPr>
          <w:trHeight w:val="380"/>
        </w:trPr>
        <w:tc>
          <w:tcPr>
            <w:tcW w:w="16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主管部门</w:t>
            </w:r>
          </w:p>
        </w:tc>
        <w:tc>
          <w:tcPr>
            <w:tcW w:w="344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[167] 海关总署</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实施单位</w:t>
            </w:r>
          </w:p>
        </w:tc>
        <w:tc>
          <w:tcPr>
            <w:tcW w:w="453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中华人民共和国额布都格海关</w:t>
            </w:r>
          </w:p>
        </w:tc>
      </w:tr>
      <w:tr>
        <w:trPr>
          <w:trHeight w:val="380"/>
        </w:trPr>
        <w:tc>
          <w:tcPr>
            <w:tcW w:w="16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项目资金</w:t>
              <w:br/>
              <w:t>（万元）</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年初预算数</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全年预算数</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全年执行数</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分值</w:t>
            </w:r>
          </w:p>
        </w:tc>
        <w:tc>
          <w:tcPr>
            <w:tcW w:w="1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执行率</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得分</w:t>
            </w:r>
          </w:p>
        </w:tc>
      </w:tr>
      <w:tr>
        <w:trPr>
          <w:trHeight w:val="380"/>
        </w:trPr>
        <w:tc>
          <w:tcPr>
            <w:tcW w:w="160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年度资金总额：</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0.60</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0.60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0.60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r>
      <w:tr>
        <w:trPr>
          <w:trHeight w:val="380"/>
        </w:trPr>
        <w:tc>
          <w:tcPr>
            <w:tcW w:w="160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其中：财政拨款</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0.60</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0.60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0.60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160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40"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上年结转</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160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其他资金 </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5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w:t>
              <w:br/>
              <w:t>度</w:t>
              <w:br/>
              <w:t>总</w:t>
              <w:br/>
              <w:t>体</w:t>
              <w:br/>
              <w:t>目</w:t>
              <w:br/>
              <w:t>标</w:t>
            </w:r>
          </w:p>
        </w:tc>
        <w:tc>
          <w:tcPr>
            <w:tcW w:w="565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预期目标</w:t>
            </w:r>
          </w:p>
        </w:tc>
        <w:tc>
          <w:tcPr>
            <w:tcW w:w="453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实际完成情况</w:t>
            </w:r>
          </w:p>
        </w:tc>
      </w:tr>
      <w:tr>
        <w:trPr>
          <w:trHeight w:val="1902"/>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52" w:type="dxa"/>
            <w:gridSpan w:val="5"/>
            <w:tcBorders>
              <w:top w:val="single" w:sz="4" w:space="0" w:color="000000"/>
              <w:left w:val="single" w:sz="4" w:space="0" w:color="000000"/>
              <w:bottom w:val="single" w:sz="4" w:space="0" w:color="000000"/>
              <w:right w:val="single" w:sz="4" w:space="0" w:color="000000"/>
            </w:tcBorders>
            <w:shd w:val="clear" w:color="auto" w:fill="auto"/>
          </w:tcPr>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目标1：提升海关动植物检疫执法能力。通过国门生物安全监测、检疫处理监管等工作，使关员检疫监管效能显著提高。目标2：通过开展动植物检疫和外来入侵物种口岸防控相关工作，有效强化疫情疫病监测预警和防控水平，疫情疫病监测网络更加完整、监测预警更加灵敏、应急反应更加及时有效，整个疫情疫病风险预警与管控能力将得到大幅度提升。目标3：通过开展国门生物安全监测和动植物检疫等工作，有效提升对进出境动植物产品的监控力度。禁止不合格进口农牧产品流入国内。</w:t>
            </w:r>
          </w:p>
        </w:tc>
        <w:tc>
          <w:tcPr>
            <w:tcW w:w="4530" w:type="dxa"/>
            <w:gridSpan w:val="5"/>
            <w:tcBorders>
              <w:top w:val="single" w:sz="4" w:space="0" w:color="000000"/>
              <w:left w:val="single" w:sz="4" w:space="0" w:color="000000"/>
              <w:bottom w:val="single" w:sz="4" w:space="0" w:color="000000"/>
              <w:right w:val="single" w:sz="4" w:space="0" w:color="000000"/>
            </w:tcBorders>
            <w:shd w:val="clear" w:color="auto" w:fill="auto"/>
          </w:tcPr>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通过开展1次国门生物安全培训、宣传，有效强化疫情疫病监测预警和防控水平。通过8次国门生物安全监测，提升海关动植物检疫执法能力。通过车辆登临检查等工作有效提升进出境动植物疫情监控力度，严禁不合格农牧产品流入国内。</w:t>
            </w:r>
          </w:p>
        </w:tc>
      </w:tr>
      <w:tr>
        <w:trPr>
          <w:trHeight w:val="540"/>
        </w:trPr>
        <w:tc>
          <w:tcPr>
            <w:tcW w:w="5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绩</w:t>
              <w:br/>
              <w:t>效</w:t>
              <w:br/>
              <w:t>指</w:t>
              <w:br/>
              <w:t>标</w:t>
            </w:r>
          </w:p>
        </w:tc>
        <w:tc>
          <w:tcPr>
            <w:tcW w:w="1104"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一级指标</w:t>
            </w:r>
          </w:p>
        </w:tc>
        <w:tc>
          <w:tcPr>
            <w:tcW w:w="1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二级指标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三级指标</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年度指标值</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实际完成值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分值</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得分</w:t>
            </w:r>
          </w:p>
        </w:tc>
        <w:tc>
          <w:tcPr>
            <w:tcW w:w="1560" w:type="dxa"/>
            <w:gridSpan w:val="2"/>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偏差原因分析及</w:t>
              <w:br/>
              <w:t>改进措施</w:t>
            </w:r>
          </w:p>
        </w:tc>
      </w:tr>
      <w:tr>
        <w:trPr>
          <w:trHeight w:val="380"/>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4"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产出指标</w:t>
            </w:r>
          </w:p>
        </w:tc>
        <w:tc>
          <w:tcPr>
            <w:tcW w:w="144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数量指标</w:t>
            </w:r>
          </w:p>
        </w:tc>
        <w:tc>
          <w:tcPr>
            <w:tcW w:w="1995"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开展国门生物安全宣传次数</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≥1次数</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1.00次数</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15</w:t>
            </w:r>
          </w:p>
        </w:tc>
        <w:tc>
          <w:tcPr>
            <w:tcW w:w="66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15.0</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4" w:type="dxa"/>
            <w:vMerge/>
            <w:tcBorders>
              <w:top w:val="single" w:sz="4" w:space="0" w:color="000000"/>
              <w:left w:val="nil"/>
              <w:bottom w:val="single" w:sz="4" w:space="0" w:color="000000"/>
              <w:right w:val="single" w:sz="4" w:space="0" w:color="000000"/>
            </w:tcBorders>
            <w:shd w:val="clear" w:color="auto" w:fill="auto"/>
            <w:vAlign w:val="center"/>
          </w:tcPr>
          <w:p/>
        </w:tc>
        <w:tc>
          <w:tcPr>
            <w:tcW w:w="144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995"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外来有害生物监测次数</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≥8次数</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8.00次数</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w:t>
            </w:r>
          </w:p>
        </w:tc>
        <w:tc>
          <w:tcPr>
            <w:tcW w:w="66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4" w:type="dxa"/>
            <w:vMerge/>
            <w:tcBorders>
              <w:top w:val="single" w:sz="4" w:space="0" w:color="000000"/>
              <w:left w:val="nil"/>
              <w:bottom w:val="single" w:sz="4" w:space="0" w:color="000000"/>
              <w:right w:val="single" w:sz="4" w:space="0" w:color="000000"/>
            </w:tcBorders>
            <w:shd w:val="clear" w:color="auto" w:fill="auto"/>
            <w:vAlign w:val="center"/>
          </w:tcPr>
          <w:p/>
        </w:tc>
        <w:tc>
          <w:tcPr>
            <w:tcW w:w="144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质量指标</w:t>
            </w:r>
          </w:p>
        </w:tc>
        <w:tc>
          <w:tcPr>
            <w:tcW w:w="1995"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开展国门生物安全宣传完成率</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15</w:t>
            </w:r>
          </w:p>
        </w:tc>
        <w:tc>
          <w:tcPr>
            <w:tcW w:w="66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15.0</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4" w:type="dxa"/>
            <w:vMerge/>
            <w:tcBorders>
              <w:top w:val="single" w:sz="4" w:space="0" w:color="000000"/>
              <w:left w:val="nil"/>
              <w:bottom w:val="single" w:sz="4" w:space="0" w:color="000000"/>
              <w:right w:val="single" w:sz="4" w:space="0" w:color="000000"/>
            </w:tcBorders>
            <w:shd w:val="clear" w:color="auto" w:fill="auto"/>
            <w:vAlign w:val="center"/>
          </w:tcPr>
          <w:p/>
        </w:tc>
        <w:tc>
          <w:tcPr>
            <w:tcW w:w="144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995"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外来有害生物监测计划完成率</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≥95%</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w:t>
            </w:r>
          </w:p>
        </w:tc>
        <w:tc>
          <w:tcPr>
            <w:tcW w:w="66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4"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效益指标</w:t>
            </w:r>
          </w:p>
        </w:tc>
        <w:tc>
          <w:tcPr>
            <w:tcW w:w="1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社会效益指标</w:t>
            </w:r>
          </w:p>
        </w:tc>
        <w:tc>
          <w:tcPr>
            <w:tcW w:w="1995"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重大突发检验检疫问题处理率</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w:t>
            </w:r>
          </w:p>
        </w:tc>
        <w:tc>
          <w:tcPr>
            <w:tcW w:w="66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30.0</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4"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满意度指标</w:t>
            </w:r>
          </w:p>
        </w:tc>
        <w:tc>
          <w:tcPr>
            <w:tcW w:w="1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服务对象</w:t>
              <w:br/>
              <w:t>满意度指标</w:t>
            </w:r>
          </w:p>
        </w:tc>
        <w:tc>
          <w:tcPr>
            <w:tcW w:w="1995"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宣传对象对宣传内容的满意度</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≥95%</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w:t>
            </w:r>
          </w:p>
        </w:tc>
        <w:tc>
          <w:tcPr>
            <w:tcW w:w="66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440"/>
        </w:trPr>
        <w:tc>
          <w:tcPr>
            <w:tcW w:w="7880" w:type="dxa"/>
            <w:gridSpan w:val="7"/>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总分</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w:t>
            </w:r>
          </w:p>
        </w:tc>
        <w:tc>
          <w:tcPr>
            <w:tcW w:w="1560" w:type="dxa"/>
            <w:gridSpan w:val="2"/>
            <w:tcBorders>
              <w:top w:val="nil"/>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1068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说明：</w:t>
            </w:r>
          </w:p>
        </w:tc>
      </w:tr>
      <w:tr>
        <w:trPr>
          <w:trHeight w:val="264"/>
        </w:trPr>
        <w:tc>
          <w:tcPr>
            <w:tcW w:w="500"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104"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449"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89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104"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104"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728"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576"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666"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80"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80"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r>
    </w:tbl>
    <w:p>
      <w:pPr>
        <w:pStyle w:val="15"/>
      </w:pPr>
    </w:p>
    <w:p>
      <w:pPr>
        <w:pStyle w:val="15"/>
      </w:pPr>
    </w:p>
    <w:p>
      <w:pPr>
        <w:pStyle w:val="15"/>
      </w:pPr>
    </w:p>
    <w:p>
      <w:pPr>
        <w:pStyle w:val="15"/>
      </w:pPr>
    </w:p>
    <w:p>
      <w:pPr>
        <w:pStyle w:val="15"/>
      </w:pPr>
    </w:p>
    <w:p>
      <w:pPr>
        <w:pStyle w:val="15"/>
      </w:pPr>
    </w:p>
    <w:tbl>
      <w:tblPr>
        <w:tblpPr w:leftFromText="180" w:rightFromText="180" w:vertAnchor="text" w:horzAnchor="page" w:tblpX="870" w:tblpY="163"/>
        <w:tblOverlap w:val="never"/>
        <w:tblW w:w="10682"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00"/>
        <w:gridCol w:w="1104"/>
        <w:gridCol w:w="1449"/>
        <w:gridCol w:w="891"/>
        <w:gridCol w:w="1104"/>
        <w:gridCol w:w="1104"/>
        <w:gridCol w:w="1728"/>
        <w:gridCol w:w="576"/>
        <w:gridCol w:w="666"/>
        <w:gridCol w:w="780"/>
        <w:gridCol w:w="780"/>
      </w:tblGrid>
      <w:tr>
        <w:trPr>
          <w:trHeight w:val="420"/>
        </w:trPr>
        <w:tc>
          <w:tcPr>
            <w:tcW w:w="10682"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口岸公共卫生安全专项项目绩效自评表</w:t>
            </w:r>
          </w:p>
        </w:tc>
      </w:tr>
      <w:tr>
        <w:trPr>
          <w:trHeight w:val="288"/>
        </w:trPr>
        <w:tc>
          <w:tcPr>
            <w:tcW w:w="10682"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（2025年度）</w:t>
            </w:r>
          </w:p>
        </w:tc>
      </w:tr>
      <w:tr>
        <w:trPr>
          <w:trHeight w:val="264"/>
        </w:trPr>
        <w:tc>
          <w:tcPr>
            <w:tcW w:w="500" w:type="dxa"/>
            <w:tcBorders>
              <w:top w:val="nil"/>
              <w:left w:val="nil"/>
              <w:bottom w:val="nil"/>
              <w:right w:val="nil"/>
            </w:tcBorders>
            <w:shd w:val="clear" w:color="auto" w:fill="auto"/>
            <w:noWrap/>
            <w:vAlign w:val="bottom"/>
          </w:tcPr>
          <w:p>
            <w:pPr>
              <w:rPr>
                <w:rFonts w:ascii="Arial" w:cs="Arial" w:hAnsi="Arial" w:hint="eastAsia"/>
                <w:i w:val="0"/>
                <w:iCs w:val="0"/>
                <w:color w:val="000000"/>
                <w:sz w:val="20"/>
                <w:szCs w:val="20"/>
                <w:u w:val="none"/>
              </w:rPr>
            </w:pPr>
          </w:p>
        </w:tc>
        <w:tc>
          <w:tcPr>
            <w:tcW w:w="1104"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449"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89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104"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104"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728"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576"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666"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80"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80"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r>
      <w:tr>
        <w:trPr>
          <w:trHeight w:val="380"/>
        </w:trPr>
        <w:tc>
          <w:tcPr>
            <w:tcW w:w="16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项目名称</w:t>
            </w:r>
          </w:p>
        </w:tc>
        <w:tc>
          <w:tcPr>
            <w:tcW w:w="907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口岸公共卫生安全专项</w:t>
            </w:r>
          </w:p>
        </w:tc>
      </w:tr>
      <w:tr>
        <w:trPr>
          <w:trHeight w:val="323"/>
        </w:trPr>
        <w:tc>
          <w:tcPr>
            <w:tcW w:w="16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主管部门</w:t>
            </w:r>
          </w:p>
        </w:tc>
        <w:tc>
          <w:tcPr>
            <w:tcW w:w="344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[167] 海关总署</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实施单位</w:t>
            </w:r>
          </w:p>
        </w:tc>
        <w:tc>
          <w:tcPr>
            <w:tcW w:w="453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中华人民共和国额布都格海关</w:t>
            </w:r>
          </w:p>
        </w:tc>
      </w:tr>
      <w:tr>
        <w:trPr>
          <w:trHeight w:val="350"/>
        </w:trPr>
        <w:tc>
          <w:tcPr>
            <w:tcW w:w="16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项目资金</w:t>
              <w:br/>
              <w:t>（万元）</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年初预算数</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全年预算数</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全年执行数</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分值</w:t>
            </w:r>
          </w:p>
        </w:tc>
        <w:tc>
          <w:tcPr>
            <w:tcW w:w="1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执行率</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得分</w:t>
            </w:r>
          </w:p>
        </w:tc>
      </w:tr>
      <w:tr>
        <w:trPr>
          <w:trHeight w:val="299"/>
        </w:trPr>
        <w:tc>
          <w:tcPr>
            <w:tcW w:w="160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年度资金总额：</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6.00</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6.00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6.00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r>
      <w:tr>
        <w:trPr>
          <w:trHeight w:val="275"/>
        </w:trPr>
        <w:tc>
          <w:tcPr>
            <w:tcW w:w="160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其中：财政拨款</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6.00</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6.00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6.00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160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40"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上年结转</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160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其他资金 </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287"/>
        </w:trPr>
        <w:tc>
          <w:tcPr>
            <w:tcW w:w="5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w:t>
              <w:br/>
              <w:t>度</w:t>
              <w:br/>
              <w:t>总</w:t>
              <w:br/>
              <w:t>体</w:t>
              <w:br/>
              <w:t>目</w:t>
              <w:br/>
              <w:t>标</w:t>
            </w:r>
          </w:p>
        </w:tc>
        <w:tc>
          <w:tcPr>
            <w:tcW w:w="565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预期目标</w:t>
            </w:r>
          </w:p>
        </w:tc>
        <w:tc>
          <w:tcPr>
            <w:tcW w:w="453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实际完成情况</w:t>
            </w:r>
          </w:p>
        </w:tc>
      </w:tr>
      <w:tr>
        <w:trPr>
          <w:trHeight w:val="1902"/>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52" w:type="dxa"/>
            <w:gridSpan w:val="5"/>
            <w:tcBorders>
              <w:top w:val="single" w:sz="4" w:space="0" w:color="000000"/>
              <w:left w:val="single" w:sz="4" w:space="0" w:color="000000"/>
              <w:bottom w:val="single" w:sz="4" w:space="0" w:color="000000"/>
              <w:right w:val="single" w:sz="4" w:space="0" w:color="000000"/>
            </w:tcBorders>
            <w:shd w:val="clear" w:color="auto" w:fill="auto"/>
          </w:tcPr>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目标1：开展2025年新冠病毒感染及其他重点传染病口岸防控工作，有针对性开展疫情防控工作，实现精准检疫。目标2： 做好国境口岸卫生监督工作。2025年加强对国境公共场所、出入境交通工具的监督管理，防止传染病自口岸传入传出，切实保障国境口岸公共卫生安全。目标3：强化口岸公共卫生核心能力建设工作。2025年推进额布都格口岸核心能力动态管理，不断提升口岸核心能力建设水平，为迎接检查做好准备。目标4：在口岸周边边境地区扎实开展病媒生物监测工作，科学预警虫媒传染病的发生、发展和流行，防止口岸病媒生物传染病传播流行。目标5：开展“国家安全教育日”“世界疟疾日”“世界艾滋病日”等宣传活动，提升出入境人员防病意识。  </w:t>
            </w:r>
          </w:p>
        </w:tc>
        <w:tc>
          <w:tcPr>
            <w:tcW w:w="4530" w:type="dxa"/>
            <w:gridSpan w:val="5"/>
            <w:tcBorders>
              <w:top w:val="single" w:sz="4" w:space="0" w:color="000000"/>
              <w:left w:val="single" w:sz="4" w:space="0" w:color="000000"/>
              <w:bottom w:val="single" w:sz="4" w:space="0" w:color="000000"/>
              <w:right w:val="single" w:sz="4" w:space="0" w:color="000000"/>
            </w:tcBorders>
            <w:shd w:val="clear" w:color="auto" w:fill="auto"/>
          </w:tcPr>
          <w:p>
            <w:pPr>
              <w:keepNext w:val="0"/>
              <w:keepLines w:val="0"/>
              <w:widowControl/>
              <w:suppressLineNumbers w:val="0"/>
              <w:jc w:val="left"/>
              <w:textAlignment w:val="top"/>
              <w:rPr>
                <w:rFonts w:ascii="宋体" w:eastAsia="宋体" w:cs="宋体"/>
                <w:i w:val="0"/>
                <w:iCs w:val="0"/>
                <w:color w:val="000000"/>
                <w:kern w:val="0"/>
                <w:sz w:val="18"/>
                <w:szCs w:val="18"/>
                <w:u w:val="none"/>
                <w:lang w:val="en-US" w:eastAsia="zh-CN"/>
              </w:rPr>
            </w:pPr>
            <w:r>
              <w:rPr>
                <w:rFonts w:ascii="宋体" w:eastAsia="宋体" w:cs="宋体" w:hint="eastAsia"/>
                <w:i w:val="0"/>
                <w:iCs w:val="0"/>
                <w:color w:val="000000"/>
                <w:kern w:val="0"/>
                <w:sz w:val="18"/>
                <w:szCs w:val="18"/>
                <w:u w:val="none"/>
                <w:lang w:val="en-US" w:eastAsia="zh-CN"/>
              </w:rPr>
              <w:t>目标1：开展2025年新冠病毒感染及其他重点传染病口岸防控工作，年内开展核酸采样1121人次，检出新冠病毒阳性1例，流感阳性1例，开展传染病防控宣传3次。</w:t>
            </w:r>
          </w:p>
          <w:p>
            <w:pPr>
              <w:keepNext w:val="0"/>
              <w:keepLines w:val="0"/>
              <w:widowControl/>
              <w:suppressLineNumbers w:val="0"/>
              <w:jc w:val="left"/>
              <w:textAlignment w:val="top"/>
              <w:rPr>
                <w:rFonts w:ascii="宋体" w:eastAsia="宋体" w:cs="宋体"/>
                <w:i w:val="0"/>
                <w:iCs w:val="0"/>
                <w:color w:val="000000"/>
                <w:kern w:val="0"/>
                <w:sz w:val="18"/>
                <w:szCs w:val="18"/>
                <w:u w:val="none"/>
                <w:lang w:val="en-US" w:eastAsia="zh-CN"/>
              </w:rPr>
            </w:pPr>
            <w:r>
              <w:rPr>
                <w:rFonts w:ascii="宋体" w:eastAsia="宋体" w:cs="宋体" w:hint="eastAsia"/>
                <w:i w:val="0"/>
                <w:iCs w:val="0"/>
                <w:color w:val="000000"/>
                <w:kern w:val="0"/>
                <w:sz w:val="18"/>
                <w:szCs w:val="18"/>
                <w:u w:val="none"/>
                <w:lang w:val="en-US" w:eastAsia="zh-CN"/>
              </w:rPr>
              <w:t>目标2：2025年度开展公共场所日常卫生监督4次，对公共场所微小气候进行4次监测，检测项目10项40批次，均合格。开展应急处置演练1次。有效加强了国境公共场所、出入境交通工具的监督管理，切实保障了国境口岸公共卫生安全。</w:t>
            </w:r>
          </w:p>
          <w:p>
            <w:pPr>
              <w:keepNext w:val="0"/>
              <w:keepLines w:val="0"/>
              <w:widowControl/>
              <w:suppressLineNumbers w:val="0"/>
              <w:jc w:val="left"/>
              <w:textAlignment w:val="top"/>
              <w:rPr>
                <w:rFonts w:ascii="宋体" w:eastAsia="宋体" w:cs="宋体"/>
                <w:i w:val="0"/>
                <w:iCs w:val="0"/>
                <w:color w:val="000000"/>
                <w:kern w:val="0"/>
                <w:sz w:val="18"/>
                <w:szCs w:val="18"/>
                <w:u w:val="none"/>
                <w:lang w:val="en-US" w:eastAsia="zh-CN"/>
              </w:rPr>
            </w:pPr>
            <w:r>
              <w:rPr>
                <w:rFonts w:ascii="宋体" w:eastAsia="宋体" w:cs="宋体" w:hint="eastAsia"/>
                <w:i w:val="0"/>
                <w:iCs w:val="0"/>
                <w:color w:val="000000"/>
                <w:kern w:val="0"/>
                <w:sz w:val="18"/>
                <w:szCs w:val="18"/>
                <w:u w:val="none"/>
                <w:lang w:val="en-US" w:eastAsia="zh-CN"/>
              </w:rPr>
              <w:t>目标3：强化口岸公共卫生核心能力建设工作，推进额布都格口岸公共卫生核心能力动态管理，积极准备2025年度核心能力复核工作。</w:t>
            </w:r>
          </w:p>
          <w:p>
            <w:pPr>
              <w:keepNext w:val="0"/>
              <w:keepLines w:val="0"/>
              <w:widowControl/>
              <w:suppressLineNumbers w:val="0"/>
              <w:jc w:val="left"/>
              <w:textAlignment w:val="top"/>
              <w:rPr>
                <w:rFonts w:ascii="宋体" w:eastAsia="宋体" w:cs="宋体"/>
                <w:i w:val="0"/>
                <w:iCs w:val="0"/>
                <w:color w:val="000000"/>
                <w:kern w:val="0"/>
                <w:sz w:val="18"/>
                <w:szCs w:val="18"/>
                <w:u w:val="none"/>
                <w:lang w:val="en-US" w:eastAsia="zh-CN"/>
              </w:rPr>
            </w:pPr>
            <w:r>
              <w:rPr>
                <w:rFonts w:ascii="宋体" w:eastAsia="宋体" w:cs="宋体" w:hint="eastAsia"/>
                <w:i w:val="0"/>
                <w:iCs w:val="0"/>
                <w:color w:val="000000"/>
                <w:kern w:val="0"/>
                <w:sz w:val="18"/>
                <w:szCs w:val="18"/>
                <w:u w:val="none"/>
                <w:lang w:val="en-US" w:eastAsia="zh-CN"/>
              </w:rPr>
              <w:t>目标4：在口岸周边边境地区扎实开展病媒生物监测工作，2025年进行各类病媒生物监测27次，布放各类器械1424个，共捕获草原革蜱400只，布氏田鼠1只；游离蜱病原体检测立克次体阳性327例。有效防止了口岸病媒生物传染病传播流行。</w:t>
            </w:r>
          </w:p>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目标5：开展国家安全教育日等宣传活动，覆盖人群1660人次，有效提升出入境人员防病意识。</w:t>
            </w:r>
          </w:p>
        </w:tc>
      </w:tr>
      <w:tr>
        <w:trPr>
          <w:trHeight w:val="540"/>
        </w:trPr>
        <w:tc>
          <w:tcPr>
            <w:tcW w:w="5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绩</w:t>
              <w:br/>
              <w:t>效</w:t>
              <w:br/>
              <w:t>指</w:t>
              <w:br/>
              <w:t>标</w:t>
            </w:r>
          </w:p>
        </w:tc>
        <w:tc>
          <w:tcPr>
            <w:tcW w:w="1104"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一级指标</w:t>
            </w:r>
          </w:p>
        </w:tc>
        <w:tc>
          <w:tcPr>
            <w:tcW w:w="1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二级指标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三级指标</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年度指标值</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实际完成值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分值</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得分</w:t>
            </w:r>
          </w:p>
        </w:tc>
        <w:tc>
          <w:tcPr>
            <w:tcW w:w="1560" w:type="dxa"/>
            <w:gridSpan w:val="2"/>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偏差原因分析及</w:t>
              <w:br/>
              <w:t>改进措施</w:t>
            </w:r>
          </w:p>
        </w:tc>
      </w:tr>
      <w:tr>
        <w:trPr>
          <w:trHeight w:val="333"/>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4"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产出指标</w:t>
            </w:r>
          </w:p>
        </w:tc>
        <w:tc>
          <w:tcPr>
            <w:tcW w:w="144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数量指标</w:t>
            </w:r>
          </w:p>
        </w:tc>
        <w:tc>
          <w:tcPr>
            <w:tcW w:w="1995"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传染病防控宣传次数</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≥2次</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3.00次</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w:t>
            </w:r>
          </w:p>
        </w:tc>
        <w:tc>
          <w:tcPr>
            <w:tcW w:w="66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5.0</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09"/>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4" w:type="dxa"/>
            <w:vMerge/>
            <w:tcBorders>
              <w:top w:val="single" w:sz="4" w:space="0" w:color="000000"/>
              <w:left w:val="nil"/>
              <w:bottom w:val="single" w:sz="4" w:space="0" w:color="000000"/>
              <w:right w:val="single" w:sz="4" w:space="0" w:color="000000"/>
            </w:tcBorders>
            <w:shd w:val="clear" w:color="auto" w:fill="auto"/>
            <w:vAlign w:val="center"/>
          </w:tcPr>
          <w:p/>
        </w:tc>
        <w:tc>
          <w:tcPr>
            <w:tcW w:w="144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995"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应急演练次数</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≥1次</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1.00次</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w:t>
            </w:r>
          </w:p>
        </w:tc>
        <w:tc>
          <w:tcPr>
            <w:tcW w:w="66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4" w:type="dxa"/>
            <w:vMerge/>
            <w:tcBorders>
              <w:top w:val="single" w:sz="4" w:space="0" w:color="000000"/>
              <w:left w:val="nil"/>
              <w:bottom w:val="single" w:sz="4" w:space="0" w:color="000000"/>
              <w:right w:val="single" w:sz="4" w:space="0" w:color="000000"/>
            </w:tcBorders>
            <w:shd w:val="clear" w:color="auto" w:fill="auto"/>
            <w:vAlign w:val="center"/>
          </w:tcPr>
          <w:p/>
        </w:tc>
        <w:tc>
          <w:tcPr>
            <w:tcW w:w="144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995"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传染病疫情监测风险评估报告期数</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≥4次</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4.00次</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w:t>
            </w:r>
          </w:p>
        </w:tc>
        <w:tc>
          <w:tcPr>
            <w:tcW w:w="66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419"/>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4" w:type="dxa"/>
            <w:vMerge/>
            <w:tcBorders>
              <w:top w:val="single" w:sz="4" w:space="0" w:color="000000"/>
              <w:left w:val="nil"/>
              <w:bottom w:val="single" w:sz="4" w:space="0" w:color="000000"/>
              <w:right w:val="single" w:sz="4" w:space="0" w:color="000000"/>
            </w:tcBorders>
            <w:shd w:val="clear" w:color="auto" w:fill="auto"/>
            <w:vAlign w:val="center"/>
          </w:tcPr>
          <w:p/>
        </w:tc>
        <w:tc>
          <w:tcPr>
            <w:tcW w:w="144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质量指标</w:t>
            </w:r>
          </w:p>
        </w:tc>
        <w:tc>
          <w:tcPr>
            <w:tcW w:w="1995"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传染病防控宣传活动完成率</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w:t>
            </w:r>
          </w:p>
        </w:tc>
        <w:tc>
          <w:tcPr>
            <w:tcW w:w="66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5.0</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274"/>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4" w:type="dxa"/>
            <w:vMerge/>
            <w:tcBorders>
              <w:top w:val="single" w:sz="4" w:space="0" w:color="000000"/>
              <w:left w:val="nil"/>
              <w:bottom w:val="single" w:sz="4" w:space="0" w:color="000000"/>
              <w:right w:val="single" w:sz="4" w:space="0" w:color="000000"/>
            </w:tcBorders>
            <w:shd w:val="clear" w:color="auto" w:fill="auto"/>
            <w:vAlign w:val="center"/>
          </w:tcPr>
          <w:p/>
        </w:tc>
        <w:tc>
          <w:tcPr>
            <w:tcW w:w="144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995"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应急演练完成率</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≥95%</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w:t>
            </w:r>
          </w:p>
        </w:tc>
        <w:tc>
          <w:tcPr>
            <w:tcW w:w="66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4"/>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4" w:type="dxa"/>
            <w:vMerge/>
            <w:tcBorders>
              <w:top w:val="single" w:sz="4" w:space="0" w:color="000000"/>
              <w:left w:val="nil"/>
              <w:bottom w:val="single" w:sz="4" w:space="0" w:color="000000"/>
              <w:right w:val="single" w:sz="4" w:space="0" w:color="000000"/>
            </w:tcBorders>
            <w:shd w:val="clear" w:color="auto" w:fill="auto"/>
            <w:vAlign w:val="center"/>
          </w:tcPr>
          <w:p/>
        </w:tc>
        <w:tc>
          <w:tcPr>
            <w:tcW w:w="144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995"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传染病疫情监测风险评估报告完成率</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w:t>
            </w:r>
          </w:p>
        </w:tc>
        <w:tc>
          <w:tcPr>
            <w:tcW w:w="66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96"/>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4"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效益指标</w:t>
            </w:r>
          </w:p>
        </w:tc>
        <w:tc>
          <w:tcPr>
            <w:tcW w:w="144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社会效益指标</w:t>
            </w:r>
          </w:p>
        </w:tc>
        <w:tc>
          <w:tcPr>
            <w:tcW w:w="1995"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口岸重大突发公共卫生事件处置率</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≥95%</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40</w:t>
            </w:r>
          </w:p>
        </w:tc>
        <w:tc>
          <w:tcPr>
            <w:tcW w:w="66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40.0</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440"/>
        </w:trPr>
        <w:tc>
          <w:tcPr>
            <w:tcW w:w="7880" w:type="dxa"/>
            <w:gridSpan w:val="7"/>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总分</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w:t>
            </w:r>
          </w:p>
        </w:tc>
        <w:tc>
          <w:tcPr>
            <w:tcW w:w="1560" w:type="dxa"/>
            <w:gridSpan w:val="2"/>
            <w:tcBorders>
              <w:top w:val="nil"/>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1068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说明：</w:t>
            </w:r>
          </w:p>
        </w:tc>
      </w:tr>
    </w:tbl>
    <w:p>
      <w:pPr>
        <w:pStyle w:val="15"/>
      </w:pPr>
    </w:p>
    <w:p>
      <w:pPr>
        <w:pStyle w:val="15"/>
      </w:pPr>
    </w:p>
    <w:tbl>
      <w:tblPr>
        <w:tblpPr w:leftFromText="180" w:rightFromText="180" w:vertAnchor="text" w:horzAnchor="page" w:tblpX="882" w:tblpY="333"/>
        <w:tblOverlap w:val="never"/>
        <w:tblW w:w="10682"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00"/>
        <w:gridCol w:w="1104"/>
        <w:gridCol w:w="1482"/>
        <w:gridCol w:w="948"/>
        <w:gridCol w:w="1104"/>
        <w:gridCol w:w="1104"/>
        <w:gridCol w:w="1728"/>
        <w:gridCol w:w="576"/>
        <w:gridCol w:w="576"/>
        <w:gridCol w:w="780"/>
        <w:gridCol w:w="780"/>
      </w:tblGrid>
      <w:tr>
        <w:trPr>
          <w:trHeight w:val="420"/>
        </w:trPr>
        <w:tc>
          <w:tcPr>
            <w:tcW w:w="10682"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监管查验技术装备设备购建及能力保障专项项目绩效自评表</w:t>
            </w:r>
          </w:p>
        </w:tc>
      </w:tr>
      <w:tr>
        <w:trPr>
          <w:trHeight w:val="288"/>
        </w:trPr>
        <w:tc>
          <w:tcPr>
            <w:tcW w:w="10682"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（2025年度）</w:t>
            </w:r>
          </w:p>
        </w:tc>
      </w:tr>
      <w:tr>
        <w:trPr>
          <w:trHeight w:val="264"/>
        </w:trPr>
        <w:tc>
          <w:tcPr>
            <w:tcW w:w="500" w:type="dxa"/>
            <w:tcBorders>
              <w:top w:val="nil"/>
              <w:left w:val="nil"/>
              <w:bottom w:val="nil"/>
              <w:right w:val="nil"/>
            </w:tcBorders>
            <w:shd w:val="clear" w:color="auto" w:fill="auto"/>
            <w:noWrap/>
            <w:vAlign w:val="bottom"/>
          </w:tcPr>
          <w:p>
            <w:pPr>
              <w:rPr>
                <w:rFonts w:ascii="Arial" w:cs="Arial" w:hAnsi="Arial" w:hint="eastAsia"/>
                <w:i w:val="0"/>
                <w:iCs w:val="0"/>
                <w:color w:val="000000"/>
                <w:sz w:val="20"/>
                <w:szCs w:val="20"/>
                <w:u w:val="none"/>
              </w:rPr>
            </w:pPr>
          </w:p>
        </w:tc>
        <w:tc>
          <w:tcPr>
            <w:tcW w:w="1104"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482"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948"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104"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104"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728"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576"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576"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80"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80"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r>
      <w:tr>
        <w:trPr>
          <w:trHeight w:val="380"/>
        </w:trPr>
        <w:tc>
          <w:tcPr>
            <w:tcW w:w="16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项目名称</w:t>
            </w:r>
          </w:p>
        </w:tc>
        <w:tc>
          <w:tcPr>
            <w:tcW w:w="907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监管查验技术装备设备购建及能力保障专项</w:t>
            </w:r>
          </w:p>
        </w:tc>
      </w:tr>
      <w:tr>
        <w:trPr>
          <w:trHeight w:val="380"/>
        </w:trPr>
        <w:tc>
          <w:tcPr>
            <w:tcW w:w="16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主管部门</w:t>
            </w:r>
          </w:p>
        </w:tc>
        <w:tc>
          <w:tcPr>
            <w:tcW w:w="353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[167] 海关总署</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实施单位</w:t>
            </w:r>
          </w:p>
        </w:tc>
        <w:tc>
          <w:tcPr>
            <w:tcW w:w="444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中华人民共和国额布都格海关</w:t>
            </w:r>
          </w:p>
        </w:tc>
      </w:tr>
      <w:tr>
        <w:trPr>
          <w:trHeight w:val="380"/>
        </w:trPr>
        <w:tc>
          <w:tcPr>
            <w:tcW w:w="16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项目资金</w:t>
              <w:br/>
              <w:t>（万元）</w:t>
            </w:r>
          </w:p>
        </w:tc>
        <w:tc>
          <w:tcPr>
            <w:tcW w:w="24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年初预算数</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全年预算数</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全年执行数</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分值</w:t>
            </w:r>
          </w:p>
        </w:tc>
        <w:tc>
          <w:tcPr>
            <w:tcW w:w="13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执行率</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得分</w:t>
            </w:r>
          </w:p>
        </w:tc>
      </w:tr>
      <w:tr>
        <w:trPr>
          <w:trHeight w:val="380"/>
        </w:trPr>
        <w:tc>
          <w:tcPr>
            <w:tcW w:w="160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年度资金总额：</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55.50</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55.50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51.08</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3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92.0%</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9.2</w:t>
            </w:r>
          </w:p>
        </w:tc>
      </w:tr>
      <w:tr>
        <w:trPr>
          <w:trHeight w:val="380"/>
        </w:trPr>
        <w:tc>
          <w:tcPr>
            <w:tcW w:w="160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其中：财政拨款</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55.50</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55.50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51.08</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3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160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30"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上年结转</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3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160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其他资金 </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3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5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w:t>
              <w:br/>
              <w:t>度</w:t>
              <w:br/>
              <w:t>总</w:t>
              <w:br/>
              <w:t>体</w:t>
              <w:br/>
              <w:t>目</w:t>
              <w:br/>
              <w:t>标</w:t>
            </w:r>
          </w:p>
        </w:tc>
        <w:tc>
          <w:tcPr>
            <w:tcW w:w="574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预期目标</w:t>
            </w:r>
          </w:p>
        </w:tc>
        <w:tc>
          <w:tcPr>
            <w:tcW w:w="444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实际完成情况</w:t>
            </w:r>
          </w:p>
        </w:tc>
      </w:tr>
      <w:tr>
        <w:trPr>
          <w:trHeight w:val="2180"/>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42" w:type="dxa"/>
            <w:gridSpan w:val="5"/>
            <w:tcBorders>
              <w:top w:val="single" w:sz="4" w:space="0" w:color="000000"/>
              <w:left w:val="single" w:sz="4" w:space="0" w:color="000000"/>
              <w:bottom w:val="single" w:sz="4" w:space="0" w:color="000000"/>
              <w:right w:val="single" w:sz="4" w:space="0" w:color="000000"/>
            </w:tcBorders>
            <w:shd w:val="clear" w:color="auto" w:fill="auto"/>
          </w:tcPr>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本项目的主要目标是持续加强监管通关能力，为规范行政执法提供充足的技术支撑和检测手段，促进依法行政，更好发挥职能作用，为额布都格海关辖区国门安全和外贸经济发展保驾护航。</w:t>
            </w:r>
          </w:p>
        </w:tc>
        <w:tc>
          <w:tcPr>
            <w:tcW w:w="4440" w:type="dxa"/>
            <w:gridSpan w:val="5"/>
            <w:tcBorders>
              <w:top w:val="single" w:sz="4" w:space="0" w:color="000000"/>
              <w:left w:val="single" w:sz="4" w:space="0" w:color="000000"/>
              <w:bottom w:val="single" w:sz="4" w:space="0" w:color="000000"/>
              <w:right w:val="single" w:sz="4" w:space="0" w:color="000000"/>
            </w:tcBorders>
            <w:shd w:val="clear" w:color="auto" w:fill="auto"/>
          </w:tcPr>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 通过采购X光机、食品查验取样通用工具箱、食品送样箱、磷化氢气体检测仪、底盘检查机器人、生物有害因子快速检测箱、化学有害因子快速检测箱及组合查验工具箱等监管设备，加强监管通关能力，为规范行政执法提供充足的技术支撑和检测手段。</w:t>
              <w:br/>
              <w:t>2. 通过开展乘用车检查系统环境监测，确保监管设备运行环境安全；开展2次核辐射突发事件应急处置演练，有效提升应急处置能力，促进依法行政，充分发挥职能作用。</w:t>
            </w:r>
          </w:p>
        </w:tc>
      </w:tr>
      <w:tr>
        <w:trPr>
          <w:trHeight w:val="540"/>
        </w:trPr>
        <w:tc>
          <w:tcPr>
            <w:tcW w:w="5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绩</w:t>
              <w:br/>
              <w:t>效</w:t>
              <w:br/>
              <w:t>指</w:t>
              <w:br/>
              <w:t>标</w:t>
            </w:r>
          </w:p>
        </w:tc>
        <w:tc>
          <w:tcPr>
            <w:tcW w:w="1104"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一级指标</w:t>
            </w:r>
          </w:p>
        </w:tc>
        <w:tc>
          <w:tcPr>
            <w:tcW w:w="148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二级指标</w:t>
            </w:r>
          </w:p>
        </w:tc>
        <w:tc>
          <w:tcPr>
            <w:tcW w:w="2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三级指标</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年度指标值</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实际完成值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分值</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得分</w:t>
            </w:r>
          </w:p>
        </w:tc>
        <w:tc>
          <w:tcPr>
            <w:tcW w:w="1560" w:type="dxa"/>
            <w:gridSpan w:val="2"/>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偏差原因分析及</w:t>
              <w:br/>
              <w:t>改进措施</w:t>
            </w:r>
          </w:p>
        </w:tc>
      </w:tr>
      <w:tr>
        <w:trPr>
          <w:trHeight w:val="380"/>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4" w:type="dxa"/>
            <w:tcBorders>
              <w:top w:val="single" w:sz="4" w:space="0" w:color="000000"/>
              <w:left w:val="nil"/>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成本指标</w:t>
            </w:r>
          </w:p>
        </w:tc>
        <w:tc>
          <w:tcPr>
            <w:tcW w:w="1482"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经济成本指标</w:t>
            </w:r>
          </w:p>
        </w:tc>
        <w:tc>
          <w:tcPr>
            <w:tcW w:w="2052"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采购总成本</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≤53万元</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51.08万元</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w:t>
            </w:r>
          </w:p>
        </w:tc>
        <w:tc>
          <w:tcPr>
            <w:tcW w:w="57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20.0</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4" w:type="dxa"/>
            <w:vMerge w:val="restart"/>
            <w:tcBorders>
              <w:top w:val="nil"/>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产出指标</w:t>
            </w:r>
          </w:p>
        </w:tc>
        <w:tc>
          <w:tcPr>
            <w:tcW w:w="1482" w:type="dxa"/>
            <w:vMerge w:val="restar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数量指标</w:t>
            </w:r>
          </w:p>
        </w:tc>
        <w:tc>
          <w:tcPr>
            <w:tcW w:w="2052"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购置监管查验设备</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≥7台</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8.00台</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w:t>
            </w:r>
          </w:p>
        </w:tc>
        <w:tc>
          <w:tcPr>
            <w:tcW w:w="57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4" w:type="dxa"/>
            <w:vMerge/>
            <w:tcBorders>
              <w:top w:val="single" w:sz="4" w:space="0" w:color="000000"/>
              <w:left w:val="nil"/>
              <w:bottom w:val="single" w:sz="4" w:space="0" w:color="000000"/>
              <w:right w:val="single" w:sz="4" w:space="0" w:color="000000"/>
            </w:tcBorders>
            <w:shd w:val="clear" w:color="auto" w:fill="auto"/>
            <w:vAlign w:val="center"/>
          </w:tcPr>
          <w:p/>
        </w:tc>
        <w:tc>
          <w:tcPr>
            <w:tcW w:w="14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52"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演练次数</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≥1次数</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2.00次数</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w:t>
            </w:r>
          </w:p>
        </w:tc>
        <w:tc>
          <w:tcPr>
            <w:tcW w:w="57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9.0</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2025年开展</w:t>
            </w:r>
            <w:r>
              <w:rPr>
                <w:rFonts w:ascii="宋体" w:eastAsia="宋体" w:cs="宋体"/>
                <w:i w:val="0"/>
                <w:iCs w:val="0"/>
                <w:color w:val="000000"/>
                <w:kern w:val="0"/>
                <w:sz w:val="18"/>
                <w:szCs w:val="18"/>
                <w:u w:val="none"/>
                <w:lang w:val="en-US" w:eastAsia="zh-CN"/>
              </w:rPr>
              <w:t>相关</w:t>
            </w:r>
            <w:r>
              <w:rPr>
                <w:rFonts w:ascii="宋体" w:eastAsia="宋体" w:cs="宋体" w:hint="eastAsia"/>
                <w:i w:val="0"/>
                <w:iCs w:val="0"/>
                <w:color w:val="000000"/>
                <w:kern w:val="0"/>
                <w:sz w:val="18"/>
                <w:szCs w:val="18"/>
                <w:u w:val="none"/>
                <w:lang w:val="en-US" w:eastAsia="zh-CN"/>
              </w:rPr>
              <w:t>应急演练和核生化应急演练各1次。按照总关要求，两笔费用合并到</w:t>
            </w:r>
            <w:r>
              <w:rPr>
                <w:rFonts w:ascii="宋体" w:eastAsia="宋体" w:cs="宋体"/>
                <w:i w:val="0"/>
                <w:iCs w:val="0"/>
                <w:color w:val="000000"/>
                <w:kern w:val="0"/>
                <w:sz w:val="18"/>
                <w:szCs w:val="18"/>
                <w:u w:val="none"/>
                <w:lang w:val="en-US" w:eastAsia="zh-CN"/>
              </w:rPr>
              <w:t>相关</w:t>
            </w:r>
            <w:r>
              <w:rPr>
                <w:rFonts w:ascii="宋体" w:eastAsia="宋体" w:cs="宋体" w:hint="eastAsia"/>
                <w:i w:val="0"/>
                <w:iCs w:val="0"/>
                <w:color w:val="000000"/>
                <w:kern w:val="0"/>
                <w:sz w:val="18"/>
                <w:szCs w:val="18"/>
                <w:u w:val="none"/>
                <w:lang w:val="en-US" w:eastAsia="zh-CN"/>
              </w:rPr>
              <w:t>预算中。下一步，</w:t>
            </w:r>
            <w:r>
              <w:rPr>
                <w:rFonts w:ascii="宋体" w:eastAsia="宋体" w:cs="宋体"/>
                <w:i w:val="0"/>
                <w:iCs w:val="0"/>
                <w:color w:val="000000"/>
                <w:kern w:val="0"/>
                <w:sz w:val="18"/>
                <w:szCs w:val="18"/>
                <w:u w:val="none"/>
                <w:lang w:val="en-US" w:eastAsia="zh-CN"/>
              </w:rPr>
              <w:t>额布都格海</w:t>
            </w:r>
            <w:r>
              <w:rPr>
                <w:rFonts w:ascii="宋体" w:eastAsia="宋体" w:cs="宋体" w:hint="eastAsia"/>
                <w:i w:val="0"/>
                <w:iCs w:val="0"/>
                <w:color w:val="000000"/>
                <w:kern w:val="0"/>
                <w:sz w:val="18"/>
                <w:szCs w:val="18"/>
                <w:u w:val="none"/>
                <w:lang w:val="en-US" w:eastAsia="zh-CN"/>
              </w:rPr>
              <w:t>关将规范年度指标设置，确保按指标完成预算执行。</w:t>
            </w:r>
          </w:p>
        </w:tc>
      </w:tr>
      <w:tr>
        <w:trPr>
          <w:trHeight w:val="380"/>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4" w:type="dxa"/>
            <w:vMerge/>
            <w:tcBorders>
              <w:top w:val="single" w:sz="4" w:space="0" w:color="000000"/>
              <w:left w:val="nil"/>
              <w:bottom w:val="single" w:sz="4" w:space="0" w:color="000000"/>
              <w:right w:val="single" w:sz="4" w:space="0" w:color="000000"/>
            </w:tcBorders>
            <w:shd w:val="clear" w:color="auto" w:fill="auto"/>
            <w:vAlign w:val="center"/>
          </w:tcPr>
          <w:p/>
        </w:tc>
        <w:tc>
          <w:tcPr>
            <w:tcW w:w="14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质量指标</w:t>
            </w:r>
          </w:p>
        </w:tc>
        <w:tc>
          <w:tcPr>
            <w:tcW w:w="2052"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购置监管查验设备全年完成率</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w:t>
            </w:r>
          </w:p>
        </w:tc>
        <w:tc>
          <w:tcPr>
            <w:tcW w:w="57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4" w:type="dxa"/>
            <w:vMerge/>
            <w:tcBorders>
              <w:top w:val="single" w:sz="4" w:space="0" w:color="000000"/>
              <w:left w:val="nil"/>
              <w:bottom w:val="single" w:sz="4" w:space="0" w:color="000000"/>
              <w:right w:val="single" w:sz="4" w:space="0" w:color="000000"/>
            </w:tcBorders>
            <w:shd w:val="clear" w:color="auto" w:fill="auto"/>
            <w:vAlign w:val="center"/>
          </w:tcPr>
          <w:p/>
        </w:tc>
        <w:tc>
          <w:tcPr>
            <w:tcW w:w="14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52"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口岸模拟演练（次）完成率</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w:t>
            </w:r>
          </w:p>
        </w:tc>
        <w:tc>
          <w:tcPr>
            <w:tcW w:w="57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4"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效益指标</w:t>
            </w:r>
          </w:p>
        </w:tc>
        <w:tc>
          <w:tcPr>
            <w:tcW w:w="148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社会效益指标</w:t>
            </w:r>
          </w:p>
        </w:tc>
        <w:tc>
          <w:tcPr>
            <w:tcW w:w="2052"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提升口岸监管查验设备有效利用率</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≥90%</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w:t>
            </w:r>
          </w:p>
        </w:tc>
        <w:tc>
          <w:tcPr>
            <w:tcW w:w="57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30.0</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58"/>
        </w:trPr>
        <w:tc>
          <w:tcPr>
            <w:tcW w:w="7970" w:type="dxa"/>
            <w:gridSpan w:val="7"/>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总分</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98.2</w:t>
            </w:r>
          </w:p>
        </w:tc>
        <w:tc>
          <w:tcPr>
            <w:tcW w:w="1560" w:type="dxa"/>
            <w:gridSpan w:val="2"/>
            <w:tcBorders>
              <w:top w:val="nil"/>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1068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说明：</w:t>
            </w:r>
          </w:p>
        </w:tc>
      </w:tr>
    </w:tbl>
    <w:p>
      <w:pPr>
        <w:pStyle w:val="15"/>
      </w:pPr>
    </w:p>
    <w:sectPr>
      <w:pgSz w:w="11907" w:h="16840"/>
      <w:pgMar w:top="1701" w:right="1440" w:bottom="1701" w:left="1440" w:header="851" w:footer="992" w:gutter="0"/>
      <w:docGrid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方正楷体_GBK">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
    <w:altName w:val="Tahoma"/>
    <w:panose1 w:val="00000000000000000000"/>
    <w:charset w:val="B1"/>
    <w:family w:val="auto"/>
    <w:pitch w:val="variable"/>
    <w:sig w:usb0="00000000" w:usb1="00000000" w:usb2="00000000" w:usb3="00000000" w:csb0="00000020" w:csb1="00000000"/>
  </w:font>
  <w:font w:name="Arial">
    <w:panose1 w:val="020B0604020202020204"/>
    <w:charset w:val="01"/>
    <w:family w:val="swiss"/>
    <w:pitch w:val="variable"/>
    <w:sig w:usb0="E0002AFF" w:usb1="C0007843" w:usb2="00000009" w:usb3="00000000" w:csb0="400001FF" w:csb1="FFFF0000"/>
  </w:font>
  <w:font w:name="黑体">
    <w:panose1 w:val="02010609060101010101"/>
    <w:charset w:val="86"/>
    <w:family w:val="auto"/>
    <w:pitch w:val="variable"/>
    <w:sig w:usb0="800002BF" w:usb1="38CF7CFA" w:usb2="00000016" w:usb3="00000000" w:csb0="00040001" w:csb1="00000000"/>
  </w:font>
  <w:font w:name="Calibri">
    <w:panose1 w:val="020F0502020204030204"/>
    <w:charset w:val="00"/>
    <w:family w:val="swiss"/>
    <w:pitch w:val="variable"/>
    <w:sig w:usb0="E00002FF" w:usb1="4000ACFF" w:usb2="00000001" w:usb3="00000000" w:csb0="2000019F" w:csb1="00000000"/>
  </w:font>
  <w:font w:name="Wingdings">
    <w:panose1 w:val="05000000000000000000"/>
    <w:charset w:val="02"/>
    <w:family w:val="auto"/>
    <w:pitch w:val="variable"/>
    <w:sig w:usb0="00000000" w:usb1="00000000" w:usb2="00000000" w:usb3="00000000" w:csb0="8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706B4151"/>
    <w:multiLevelType w:val="singleLevel"/>
    <w:tmpl w:val="706B4151"/>
    <w:lvl w:ilvl="0">
      <w:start w:val="1"/>
      <w:numFmt w:val="chineseCounting"/>
      <w:lvlRestart w:val="0"/>
      <w:suff w:val="nothing"/>
      <w:lvlText w:val="%1、"/>
      <w:lvlJc w:val="left"/>
      <w:pPr>
        <w:ind w:left="0" w:hanging="0"/>
      </w:pPr>
      <w:rPr>
        <w:rFonts w:hint="eastAsia"/>
      </w:rPr>
    </w:lvl>
  </w:abstractNum>
  <w:abstractNum w:abstractNumId="1">
    <w:nsid w:val="426F93EB"/>
    <w:multiLevelType w:val="singleLevel"/>
    <w:tmpl w:val="E4CFF84B"/>
    <w:lvl w:ilvl="0">
      <w:start w:val="1"/>
      <w:numFmt w:val="bullet"/>
      <w:lvlRestart w:val="0"/>
      <w:pStyle w:val="16"/>
      <w:lvlText w:val=""/>
      <w:lvlJc w:val="left"/>
      <w:pPr>
        <w:ind w:left="780" w:hanging="360"/>
      </w:pPr>
      <w:rPr>
        <w:rFonts w:ascii="Wingdings" w:hAnsi="Wingdings" w:hint="default"/>
      </w:rPr>
    </w:lvl>
  </w:abstractNum>
  <w:abstractNum w:abstractNumId="2">
    <w:nsid w:val="C59ED6D1"/>
    <w:multiLevelType w:val="singleLevel"/>
    <w:tmpl w:val="E871E8E0"/>
    <w:lvl w:ilvl="0">
      <w:start w:val="1"/>
      <w:numFmt w:val="bullet"/>
      <w:lvlRestart w:val="0"/>
      <w:pStyle w:val="17"/>
      <w:lvlText w:val=""/>
      <w:lvlJc w:val="left"/>
      <w:pPr>
        <w:ind w:left="20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10"/>
  <w:doNotDisplayPageBoundaries/>
  <w:displayBackgroundShape/>
  <w:bordersDoNotSurroundHeader w:val="0"/>
  <w:bordersDoNotSurroundFooter w:val="0"/>
  <w:trackRevisions/>
  <w:defaultTabStop w:val="420"/>
  <w:drawingGridHorizontalSpacing w:val="157"/>
  <w:drawingGridVerticalSpacing w:val="289"/>
  <w:displayHorizontalDrawingGridEvery w:val="1"/>
  <w:displayVerticalDrawingGridEvery w:val="1"/>
  <w:noPunctuationKerning/>
  <w:characterSpacingControl w:val="compressPunctuation"/>
  <w:noLineBreaksAfter w:lang="zh-CN" w:val="$([{£¥·‘“〈《「『【〔〖〝﹙﹛﹝＄（．［｛￡￥"/>
  <w:noLineBreaksBefore w:lang="zh-CN" w:val="!%),.:;&gt;?]}¢¨°·ˇˉ―‖’”…‰′″›℃∶、。〃〉》」』】〕〗〞︶︺︾﹀﹄﹚﹜﹞！＂％＇），．：；？］｀｜｝～￠"/>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ZjIxMDczMjQ3MDczNTU4Y2U2MjRjYzU4OTZjMWI0Zj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1"/>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Arial" w:eastAsia="黑体" w:cs="Arial" w:hAnsi="Arial"/>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样式 三号4"/>
    <w:pPr>
      <w:widowControl w:val="0"/>
      <w:jc w:val="both"/>
    </w:pPr>
    <w:rPr>
      <w:rFonts w:ascii="Times New Roman" w:eastAsia="方正仿宋_GBK" w:cs="Times New Roman" w:hAnsi="Times New Roman"/>
      <w:kern w:val="2"/>
      <w:sz w:val="32"/>
      <w:szCs w:val="32"/>
      <w:lang w:val="en-US" w:eastAsia="zh-CN" w:bidi="ar-SA"/>
    </w:rPr>
  </w:style>
  <w:style w:type="paragraph" w:styleId="16">
    <w:name w:val="List Bullet 2"/>
    <w:basedOn w:val="0"/>
    <w:pPr>
      <w:numPr>
        <w:ilvl w:val="0"/>
        <w:numId w:val="2"/>
      </w:numPr>
    </w:pPr>
  </w:style>
  <w:style w:type="paragraph" w:styleId="17">
    <w:name w:val="List Bullet 5"/>
    <w:basedOn w:val="0"/>
    <w:pPr>
      <w:numPr>
        <w:ilvl w:val="0"/>
        <w:numId w:val="3"/>
      </w:numPr>
    </w:pPr>
  </w:style>
  <w:style w:type="paragraph" w:styleId="18">
    <w:name w:val="footer"/>
    <w:basedOn w:val="0"/>
    <w:pPr>
      <w:tabs>
        <w:tab w:val="center" w:pos="4153"/>
        <w:tab w:val="right" w:pos="8307"/>
      </w:tabs>
      <w:snapToGrid w:val="0"/>
      <w:jc w:val="left"/>
    </w:pPr>
    <w:rPr>
      <w:sz w:val="18"/>
      <w:szCs w:val="18"/>
    </w:rPr>
  </w:style>
  <w:style w:type="paragraph" w:styleId="19">
    <w:name w:val="header"/>
    <w:basedOn w:val="0"/>
    <w:pPr>
      <w:pBdr>
        <w:bottom w:val="single" w:sz="6" w:space="1" w:color="auto"/>
      </w:pBdr>
      <w:tabs>
        <w:tab w:val="center" w:pos="4153"/>
        <w:tab w:val="right" w:pos="8307"/>
      </w:tabs>
      <w:snapToGrid w:val="0"/>
      <w:jc w:val="center"/>
    </w:pPr>
    <w:rPr>
      <w:sz w:val="18"/>
      <w:szCs w:val="18"/>
    </w:rPr>
  </w:style>
  <w:style w:type="paragraph" w:styleId="20">
    <w:name w:val="Normal (Web)"/>
    <w:basedOn w:val="0"/>
    <w:rPr>
      <w:sz w:val="24"/>
    </w:rPr>
  </w:style>
  <w:style w:type="character" w:styleId="21">
    <w:name w:val="Strong"/>
    <w:basedOn w:val="10"/>
    <w:rPr>
      <w:b/>
      <w:bCs/>
    </w:rPr>
  </w:style>
  <w:style w:type="paragraph" w:customStyle="1" w:styleId="22">
    <w:name w:val="样式 10 磅"/>
    <w:pPr>
      <w:widowControl w:val="0"/>
      <w:jc w:val="both"/>
    </w:pPr>
    <w:rPr>
      <w:rFonts w:ascii="Times New Roman" w:eastAsia="宋体" w:cs="Times New Roman" w:hAnsi="Times New Roman"/>
      <w:kern w:val="2"/>
      <w:sz w:val="21"/>
      <w:szCs w:val="21"/>
      <w:lang w:val="en-US" w:eastAsia="zh-CN" w:bidi="ar-SA"/>
    </w:rPr>
  </w:style>
  <w:style w:type="paragraph" w:customStyle="1" w:styleId="23">
    <w:name w:val="样式 二号"/>
    <w:pPr>
      <w:widowControl w:val="0"/>
      <w:jc w:val="both"/>
    </w:pPr>
    <w:rPr>
      <w:rFonts w:ascii="Times New Roman" w:eastAsia="方正小标宋_GBK" w:cs="Times New Roman" w:hAnsi="Times New Roman"/>
      <w:kern w:val="2"/>
      <w:sz w:val="44"/>
      <w:szCs w:val="44"/>
      <w:lang w:val="en-US" w:eastAsia="en-US" w:bidi="ar-SA"/>
    </w:rPr>
  </w:style>
  <w:style w:type="paragraph" w:customStyle="1" w:styleId="24">
    <w:name w:val="样式 22 10 磅"/>
    <w:next w:val="17"/>
    <w:pPr>
      <w:widowControl w:val="0"/>
      <w:jc w:val="both"/>
    </w:pPr>
    <w:rPr>
      <w:rFonts w:ascii="Times New Roman" w:eastAsia="宋体" w:cs="Times New Roman" w:hAnsi="Times New Roman"/>
      <w:kern w:val="2"/>
      <w:sz w:val="21"/>
      <w:szCs w:val="21"/>
      <w:lang w:val="en-US" w:eastAsia="zh-CN" w:bidi="ar-SA"/>
    </w:rPr>
  </w:style>
  <w:style w:type="paragraph" w:customStyle="1" w:styleId="25">
    <w:name w:val="样式 23 10 磅"/>
    <w:pPr>
      <w:widowControl w:val="0"/>
      <w:jc w:val="both"/>
    </w:pPr>
    <w:rPr>
      <w:rFonts w:ascii="Times New Roman" w:eastAsia="宋体" w:cs="Times New Roman" w:hAnsi="Times New Roman"/>
      <w:kern w:val="2"/>
      <w:sz w:val="21"/>
      <w:szCs w:val="21"/>
      <w:lang w:val="en-US" w:eastAsia="zh-CN" w:bidi="ar-SA"/>
    </w:rPr>
  </w:style>
  <w:style w:type="paragraph" w:customStyle="1" w:styleId="26">
    <w:name w:val="样式 24 10 磅"/>
    <w:pPr>
      <w:widowControl w:val="0"/>
      <w:jc w:val="both"/>
    </w:pPr>
    <w:rPr>
      <w:rFonts w:ascii="Times New Roman" w:eastAsia="宋体" w:cs="Times New Roman" w:hAnsi="Times New Roman"/>
      <w:kern w:val="2"/>
      <w:sz w:val="21"/>
      <w:szCs w:val="21"/>
      <w:lang w:val="en-US" w:eastAsia="zh-CN" w:bidi="ar-SA"/>
    </w:rPr>
  </w:style>
  <w:style w:type="paragraph" w:customStyle="1" w:styleId="27">
    <w:name w:val="样式 25 10 磅"/>
    <w:pPr>
      <w:widowControl w:val="0"/>
      <w:jc w:val="both"/>
    </w:pPr>
    <w:rPr>
      <w:rFonts w:ascii="Times New Roman" w:eastAsia="宋体" w:cs="Times New Roman" w:hAnsi="Times New Roman"/>
      <w:kern w:val="2"/>
      <w:sz w:val="21"/>
      <w:szCs w:val="21"/>
      <w:lang w:val="en-US" w:eastAsia="zh-CN" w:bidi="ar-SA"/>
    </w:rPr>
  </w:style>
  <w:style w:type="paragraph" w:customStyle="1" w:styleId="28">
    <w:name w:val="样式 26 10 磅"/>
    <w:pPr>
      <w:widowControl w:val="0"/>
      <w:jc w:val="both"/>
    </w:pPr>
    <w:rPr>
      <w:rFonts w:ascii="Times New Roman" w:eastAsia="宋体" w:cs="Times New Roman" w:hAnsi="Times New Roman"/>
      <w:kern w:val="2"/>
      <w:sz w:val="21"/>
      <w:szCs w:val="21"/>
      <w:lang w:val="en-US" w:eastAsia="zh-CN" w:bidi="ar-SA"/>
    </w:rPr>
  </w:style>
  <w:style w:type="paragraph" w:customStyle="1" w:styleId="29">
    <w:name w:val="样式 27 10 磅"/>
    <w:pPr>
      <w:widowControl w:val="0"/>
      <w:jc w:val="both"/>
    </w:pPr>
    <w:rPr>
      <w:rFonts w:ascii="Times New Roman" w:eastAsia="宋体" w:cs="Times New Roman" w:hAnsi="Times New Roman"/>
      <w:kern w:val="2"/>
      <w:sz w:val="21"/>
      <w:szCs w:val="21"/>
      <w:lang w:val="en-US" w:eastAsia="zh-CN" w:bidi="ar-SA"/>
    </w:rPr>
  </w:style>
  <w:style w:type="paragraph" w:customStyle="1" w:styleId="30">
    <w:name w:val="样式 28 10 磅"/>
    <w:pPr>
      <w:widowControl w:val="0"/>
      <w:jc w:val="both"/>
    </w:pPr>
    <w:rPr>
      <w:rFonts w:ascii="Times New Roman" w:eastAsia="宋体" w:cs="Times New Roman" w:hAnsi="Times New Roman"/>
      <w:kern w:val="2"/>
      <w:sz w:val="21"/>
      <w:szCs w:val="21"/>
      <w:lang w:val="en-US" w:eastAsia="zh-CN" w:bidi="ar-SA"/>
    </w:rPr>
  </w:style>
  <w:style w:type="paragraph" w:customStyle="1" w:styleId="31">
    <w:name w:val="样式 29 10 磅"/>
    <w:pPr>
      <w:widowControl w:val="0"/>
      <w:jc w:val="both"/>
    </w:pPr>
    <w:rPr>
      <w:rFonts w:ascii="Times New Roman" w:eastAsia="宋体" w:cs="Times New Roman" w:hAnsi="Times New Roman"/>
      <w:kern w:val="2"/>
      <w:sz w:val="21"/>
      <w:szCs w:val="21"/>
      <w:lang w:val="en-US" w:eastAsia="zh-CN" w:bidi="ar-SA"/>
    </w:rPr>
  </w:style>
  <w:style w:type="paragraph" w:customStyle="1" w:styleId="32">
    <w:name w:val="样式 30 10 磅"/>
    <w:pPr>
      <w:widowControl w:val="0"/>
      <w:jc w:val="both"/>
    </w:pPr>
    <w:rPr>
      <w:rFonts w:ascii="Times New Roman" w:eastAsia="宋体" w:cs="Times New Roman" w:hAnsi="Times New Roman"/>
      <w:kern w:val="2"/>
      <w:sz w:val="21"/>
      <w:szCs w:val="21"/>
      <w:lang w:val="en-US" w:eastAsia="zh-CN" w:bidi="ar-SA"/>
    </w:rPr>
  </w:style>
  <w:style w:type="paragraph" w:customStyle="1" w:styleId="33">
    <w:name w:val="样式 31 10 磅"/>
    <w:pPr>
      <w:widowControl w:val="0"/>
      <w:jc w:val="both"/>
    </w:pPr>
    <w:rPr>
      <w:rFonts w:ascii="Times New Roman" w:eastAsia="宋体" w:cs="Times New Roman" w:hAnsi="Times New Roman"/>
      <w:kern w:val="2"/>
      <w:sz w:val="21"/>
      <w:szCs w:val="21"/>
      <w:lang w:val="en-US" w:eastAsia="zh-CN" w:bidi="ar-SA"/>
    </w:rPr>
  </w:style>
  <w:style w:type="paragraph" w:customStyle="1" w:styleId="34">
    <w:name w:val="样式 32 10 磅"/>
    <w:pPr>
      <w:widowControl w:val="0"/>
      <w:jc w:val="both"/>
    </w:pPr>
    <w:rPr>
      <w:rFonts w:ascii="Times New Roman" w:eastAsia="宋体" w:cs="Times New Roman" w:hAnsi="Times New Roman"/>
      <w:kern w:val="2"/>
      <w:sz w:val="21"/>
      <w:szCs w:val="21"/>
      <w:lang w:val="en-US" w:eastAsia="zh-CN" w:bidi="ar-SA"/>
    </w:rPr>
  </w:style>
  <w:style w:type="paragraph" w:customStyle="1" w:styleId="35">
    <w:name w:val="样式 33 10 磅"/>
    <w:pPr>
      <w:widowControl w:val="0"/>
      <w:jc w:val="both"/>
    </w:pPr>
    <w:rPr>
      <w:rFonts w:ascii="Times New Roman" w:eastAsia="宋体" w:cs="Times New Roman" w:hAnsi="Times New Roman"/>
      <w:kern w:val="2"/>
      <w:sz w:val="21"/>
      <w:szCs w:val="21"/>
      <w:lang w:val="en-US" w:eastAsia="zh-CN" w:bidi="ar-SA"/>
    </w:rPr>
  </w:style>
  <w:style w:type="paragraph" w:customStyle="1" w:styleId="36">
    <w:name w:val="样式 34 10 磅"/>
    <w:pPr>
      <w:widowControl w:val="0"/>
      <w:jc w:val="both"/>
    </w:pPr>
    <w:rPr>
      <w:rFonts w:ascii="Times New Roman" w:eastAsia="宋体" w:cs="Times New Roman" w:hAnsi="Times New Roman"/>
      <w:kern w:val="2"/>
      <w:sz w:val="21"/>
      <w:szCs w:val="21"/>
      <w:lang w:val="en-US" w:eastAsia="zh-CN" w:bidi="ar-SA"/>
    </w:rPr>
  </w:style>
  <w:style w:type="paragraph" w:customStyle="1" w:styleId="37">
    <w:name w:val="样式 912 10 磅"/>
    <w:pPr>
      <w:widowControl w:val="0"/>
      <w:jc w:val="both"/>
    </w:pPr>
    <w:rPr>
      <w:rFonts w:ascii="Times New Roman" w:eastAsia="宋体" w:cs="Times New Roman" w:hAnsi="Times New Roman"/>
      <w:kern w:val="2"/>
      <w:sz w:val="21"/>
      <w:szCs w:val="21"/>
      <w:lang w:val="en-US" w:eastAsia="zh-CN" w:bidi="ar-SA"/>
    </w:rPr>
  </w:style>
  <w:style w:type="paragraph" w:customStyle="1" w:styleId="38">
    <w:name w:val="样式 1 小四"/>
    <w:next w:val="16"/>
    <w:pPr>
      <w:widowControl w:val="0"/>
      <w:autoSpaceDE w:val="0"/>
      <w:autoSpaceDN w:val="0"/>
      <w:adjustRightInd w:val="0"/>
    </w:pPr>
    <w:rPr>
      <w:rFonts w:ascii="Times New Roman" w:eastAsia="宋体" w:cs="Times New Roman" w:hAnsi="Times New Roman"/>
      <w:color w:val="000000"/>
      <w:kern w:val="0"/>
      <w:sz w:val="24"/>
      <w:szCs w:val="24"/>
      <w:lang w:val="en-US" w:eastAsia="zh-CN" w:bidi="ar-SA"/>
    </w:rPr>
  </w:style>
  <w:style w:type="paragraph" w:customStyle="1" w:styleId="39">
    <w:name w:val="样式 1 10 磅"/>
    <w:pPr>
      <w:widowControl w:val="0"/>
      <w:jc w:val="both"/>
    </w:pPr>
    <w:rPr>
      <w:rFonts w:ascii="Times New Roman" w:eastAsia="宋体" w:cs="Times New Roman" w:hAnsi="Times New Roman"/>
      <w:kern w:val="2"/>
      <w:sz w:val="21"/>
      <w:szCs w:val="21"/>
      <w:lang w:val="en-US" w:eastAsia="zh-CN" w:bidi="ar-SA"/>
    </w:rPr>
  </w:style>
  <w:style w:type="paragraph" w:customStyle="1" w:styleId="40">
    <w:name w:val="样式 2 10 磅"/>
    <w:pPr>
      <w:widowControl w:val="0"/>
      <w:jc w:val="both"/>
    </w:pPr>
    <w:rPr>
      <w:rFonts w:ascii="Times New Roman" w:eastAsia="宋体" w:cs="Times New Roman" w:hAnsi="Times New Roman"/>
      <w:kern w:val="2"/>
      <w:sz w:val="21"/>
      <w:szCs w:val="21"/>
      <w:lang w:val="en-US" w:eastAsia="zh-CN" w:bidi="ar-SA"/>
    </w:rPr>
  </w:style>
  <w:style w:type="paragraph" w:customStyle="1" w:styleId="41">
    <w:name w:val="样式 3 10 磅"/>
    <w:pPr>
      <w:widowControl w:val="0"/>
      <w:jc w:val="both"/>
    </w:pPr>
    <w:rPr>
      <w:rFonts w:ascii="Times New Roman" w:eastAsia="宋体" w:cs="Times New Roman" w:hAnsi="Times New Roman"/>
      <w:kern w:val="2"/>
      <w:sz w:val="21"/>
      <w:szCs w:val="21"/>
      <w:lang w:val="en-US" w:eastAsia="zh-CN" w:bidi="ar-SA"/>
    </w:rPr>
  </w:style>
  <w:style w:type="paragraph" w:customStyle="1" w:styleId="42">
    <w:name w:val="样式 4 10 磅"/>
    <w:pPr>
      <w:widowControl w:val="0"/>
      <w:jc w:val="both"/>
    </w:pPr>
    <w:rPr>
      <w:rFonts w:ascii="Times New Roman" w:eastAsia="宋体" w:cs="Times New Roman" w:hAnsi="Times New Roman"/>
      <w:kern w:val="2"/>
      <w:sz w:val="21"/>
      <w:szCs w:val="21"/>
      <w:lang w:val="en-US" w:eastAsia="zh-CN" w:bidi="ar-SA"/>
    </w:rPr>
  </w:style>
  <w:style w:type="paragraph" w:customStyle="1" w:styleId="43">
    <w:name w:val="样式 5 10 磅"/>
    <w:pPr>
      <w:widowControl w:val="0"/>
      <w:jc w:val="both"/>
    </w:pPr>
    <w:rPr>
      <w:rFonts w:ascii="Times New Roman" w:eastAsia="宋体" w:cs="Times New Roman" w:hAnsi="Times New Roman"/>
      <w:kern w:val="2"/>
      <w:sz w:val="21"/>
      <w:szCs w:val="21"/>
      <w:lang w:val="en-US" w:eastAsia="zh-CN" w:bidi="ar-SA"/>
    </w:rPr>
  </w:style>
  <w:style w:type="paragraph" w:customStyle="1" w:styleId="44">
    <w:name w:val="样式 6 10 磅"/>
    <w:pPr>
      <w:widowControl w:val="0"/>
      <w:jc w:val="both"/>
    </w:pPr>
    <w:rPr>
      <w:rFonts w:ascii="Times New Roman" w:eastAsia="宋体" w:cs="Times New Roman" w:hAnsi="Times New Roman"/>
      <w:kern w:val="2"/>
      <w:sz w:val="21"/>
      <w:szCs w:val="21"/>
      <w:lang w:val="en-US" w:eastAsia="zh-CN" w:bidi="ar-SA"/>
    </w:rPr>
  </w:style>
  <w:style w:type="paragraph" w:customStyle="1" w:styleId="45">
    <w:name w:val="样式 7 10 磅"/>
    <w:pPr>
      <w:widowControl w:val="0"/>
      <w:jc w:val="both"/>
    </w:pPr>
    <w:rPr>
      <w:rFonts w:ascii="Times New Roman" w:eastAsia="宋体" w:cs="Times New Roman" w:hAnsi="Times New Roman"/>
      <w:kern w:val="2"/>
      <w:sz w:val="21"/>
      <w:szCs w:val="21"/>
      <w:lang w:val="en-US" w:eastAsia="zh-CN" w:bidi="ar-SA"/>
    </w:rPr>
  </w:style>
  <w:style w:type="paragraph" w:customStyle="1" w:styleId="46">
    <w:name w:val="样式 8 10 磅"/>
    <w:pPr>
      <w:widowControl w:val="0"/>
      <w:jc w:val="both"/>
    </w:pPr>
    <w:rPr>
      <w:rFonts w:ascii="Times New Roman" w:eastAsia="宋体" w:cs="Times New Roman" w:hAnsi="Times New Roman"/>
      <w:kern w:val="2"/>
      <w:sz w:val="21"/>
      <w:szCs w:val="21"/>
      <w:lang w:val="en-US" w:eastAsia="zh-CN" w:bidi="ar-SA"/>
    </w:rPr>
  </w:style>
  <w:style w:type="paragraph" w:customStyle="1" w:styleId="47">
    <w:name w:val="样式 9 10 磅"/>
    <w:pPr>
      <w:widowControl w:val="0"/>
      <w:jc w:val="both"/>
    </w:pPr>
    <w:rPr>
      <w:rFonts w:ascii="Times New Roman" w:eastAsia="宋体" w:cs="Times New Roman" w:hAnsi="Times New Roman"/>
      <w:kern w:val="2"/>
      <w:sz w:val="21"/>
      <w:szCs w:val="21"/>
      <w:lang w:val="en-US" w:eastAsia="zh-CN" w:bidi="ar-SA"/>
    </w:rPr>
  </w:style>
  <w:style w:type="paragraph" w:customStyle="1" w:styleId="48">
    <w:name w:val="样式 10 10 磅"/>
    <w:pPr>
      <w:widowControl w:val="0"/>
      <w:jc w:val="both"/>
    </w:pPr>
    <w:rPr>
      <w:rFonts w:ascii="Times New Roman" w:eastAsia="宋体" w:cs="Times New Roman" w:hAnsi="Times New Roman"/>
      <w:kern w:val="2"/>
      <w:sz w:val="21"/>
      <w:szCs w:val="21"/>
      <w:lang w:val="en-US" w:eastAsia="zh-CN" w:bidi="ar-SA"/>
    </w:rPr>
  </w:style>
  <w:style w:type="paragraph" w:customStyle="1" w:styleId="49">
    <w:name w:val="样式 11 10 磅"/>
    <w:pPr>
      <w:widowControl w:val="0"/>
      <w:jc w:val="both"/>
    </w:pPr>
    <w:rPr>
      <w:rFonts w:ascii="Times New Roman" w:eastAsia="宋体" w:cs="Times New Roman" w:hAnsi="Times New Roman"/>
      <w:kern w:val="2"/>
      <w:sz w:val="21"/>
      <w:szCs w:val="21"/>
      <w:lang w:val="en-US" w:eastAsia="zh-CN" w:bidi="ar-SA"/>
    </w:rPr>
  </w:style>
  <w:style w:type="paragraph" w:customStyle="1" w:styleId="50">
    <w:name w:val="样式 12 10 磅"/>
    <w:pPr>
      <w:widowControl w:val="0"/>
      <w:jc w:val="both"/>
    </w:pPr>
    <w:rPr>
      <w:rFonts w:ascii="Times New Roman" w:eastAsia="宋体" w:cs="Times New Roman" w:hAnsi="Times New Roman"/>
      <w:kern w:val="2"/>
      <w:sz w:val="21"/>
      <w:szCs w:val="21"/>
      <w:lang w:val="en-US" w:eastAsia="zh-CN" w:bidi="ar-SA"/>
    </w:rPr>
  </w:style>
  <w:style w:type="paragraph" w:customStyle="1" w:styleId="51">
    <w:name w:val="样式 13 10 磅"/>
    <w:pPr>
      <w:widowControl w:val="0"/>
      <w:jc w:val="both"/>
    </w:pPr>
    <w:rPr>
      <w:rFonts w:ascii="Times New Roman" w:eastAsia="宋体" w:cs="Times New Roman" w:hAnsi="Times New Roman"/>
      <w:kern w:val="2"/>
      <w:sz w:val="21"/>
      <w:szCs w:val="21"/>
      <w:lang w:val="en-US" w:eastAsia="zh-CN" w:bidi="ar-SA"/>
    </w:rPr>
  </w:style>
  <w:style w:type="paragraph" w:customStyle="1" w:styleId="52">
    <w:name w:val="样式 14 10 磅"/>
    <w:pPr>
      <w:widowControl w:val="0"/>
      <w:jc w:val="both"/>
    </w:pPr>
    <w:rPr>
      <w:rFonts w:ascii="Times New Roman" w:eastAsia="宋体" w:cs="Times New Roman" w:hAnsi="Times New Roman"/>
      <w:kern w:val="2"/>
      <w:sz w:val="21"/>
      <w:szCs w:val="21"/>
      <w:lang w:val="en-US" w:eastAsia="zh-CN" w:bidi="ar-SA"/>
    </w:rPr>
  </w:style>
  <w:style w:type="paragraph" w:customStyle="1" w:styleId="53">
    <w:name w:val="样式 15 10 磅"/>
    <w:pPr>
      <w:widowControl w:val="0"/>
      <w:jc w:val="both"/>
    </w:pPr>
    <w:rPr>
      <w:rFonts w:ascii="Times New Roman" w:eastAsia="宋体" w:cs="Times New Roman" w:hAnsi="Times New Roman"/>
      <w:kern w:val="2"/>
      <w:sz w:val="21"/>
      <w:szCs w:val="21"/>
      <w:lang w:val="en-US" w:eastAsia="zh-CN" w:bidi="ar-SA"/>
    </w:rPr>
  </w:style>
  <w:style w:type="paragraph" w:customStyle="1" w:styleId="54">
    <w:name w:val="样式 16 10 磅"/>
    <w:pPr>
      <w:widowControl w:val="0"/>
      <w:jc w:val="both"/>
    </w:pPr>
    <w:rPr>
      <w:rFonts w:ascii="Times New Roman" w:eastAsia="宋体" w:cs="Times New Roman" w:hAnsi="Times New Roman"/>
      <w:kern w:val="2"/>
      <w:sz w:val="21"/>
      <w:szCs w:val="21"/>
      <w:lang w:val="en-US" w:eastAsia="zh-CN" w:bidi="ar-SA"/>
    </w:rPr>
  </w:style>
  <w:style w:type="paragraph" w:customStyle="1" w:styleId="55">
    <w:name w:val="样式 17 10 磅"/>
    <w:pPr>
      <w:widowControl w:val="0"/>
      <w:jc w:val="both"/>
    </w:pPr>
    <w:rPr>
      <w:rFonts w:ascii="Times New Roman" w:eastAsia="宋体" w:cs="Times New Roman" w:hAnsi="Times New Roman"/>
      <w:kern w:val="2"/>
      <w:sz w:val="21"/>
      <w:szCs w:val="21"/>
      <w:lang w:val="en-US" w:eastAsia="zh-CN" w:bidi="ar-SA"/>
    </w:rPr>
  </w:style>
  <w:style w:type="paragraph" w:customStyle="1" w:styleId="56">
    <w:name w:val="样式 18 10 磅"/>
    <w:pPr>
      <w:widowControl w:val="0"/>
      <w:jc w:val="both"/>
    </w:pPr>
    <w:rPr>
      <w:rFonts w:ascii="Times New Roman" w:eastAsia="宋体" w:cs="Times New Roman" w:hAnsi="Times New Roman"/>
      <w:kern w:val="2"/>
      <w:sz w:val="21"/>
      <w:szCs w:val="21"/>
      <w:lang w:val="en-US" w:eastAsia="zh-CN" w:bidi="ar-SA"/>
    </w:rPr>
  </w:style>
  <w:style w:type="paragraph" w:customStyle="1" w:styleId="57">
    <w:name w:val="样式 19 10 磅"/>
    <w:pPr>
      <w:widowControl w:val="0"/>
      <w:jc w:val="both"/>
    </w:pPr>
    <w:rPr>
      <w:rFonts w:ascii="Times New Roman" w:eastAsia="宋体" w:cs="Times New Roman" w:hAnsi="Times New Roman"/>
      <w:kern w:val="2"/>
      <w:sz w:val="21"/>
      <w:szCs w:val="21"/>
      <w:lang w:val="en-US" w:eastAsia="zh-CN" w:bidi="ar-SA"/>
    </w:rPr>
  </w:style>
  <w:style w:type="paragraph" w:customStyle="1" w:styleId="58">
    <w:name w:val="样式 20 10 磅"/>
    <w:pPr>
      <w:widowControl w:val="0"/>
      <w:jc w:val="both"/>
    </w:pPr>
    <w:rPr>
      <w:rFonts w:ascii="Times New Roman" w:eastAsia="宋体" w:cs="Times New Roman" w:hAnsi="Times New Roman"/>
      <w:kern w:val="2"/>
      <w:sz w:val="21"/>
      <w:szCs w:val="21"/>
      <w:lang w:val="en-US" w:eastAsia="zh-CN" w:bidi="ar-SA"/>
    </w:rPr>
  </w:style>
  <w:style w:type="paragraph" w:customStyle="1" w:styleId="59">
    <w:name w:val="样式 21 10 磅"/>
    <w:pPr>
      <w:widowControl w:val="0"/>
      <w:jc w:val="both"/>
    </w:pPr>
    <w:rPr>
      <w:rFonts w:ascii="Times New Roman" w:eastAsia="宋体" w:cs="Times New Roman" w:hAnsi="Times New Roman"/>
      <w:kern w:val="2"/>
      <w:sz w:val="21"/>
      <w:szCs w:val="21"/>
      <w:lang w:val="en-US" w:eastAsia="zh-CN" w:bidi="ar-SA"/>
    </w:rPr>
  </w:style>
  <w:style w:type="paragraph" w:customStyle="1" w:styleId="60">
    <w:name w:val="样式 35 10 磅"/>
    <w:pPr>
      <w:widowControl w:val="0"/>
      <w:jc w:val="both"/>
    </w:pPr>
    <w:rPr>
      <w:rFonts w:ascii="Times New Roman" w:eastAsia="宋体" w:cs="Times New Roman" w:hAnsi="Times New Roman"/>
      <w:kern w:val="2"/>
      <w:sz w:val="21"/>
      <w:szCs w:val="21"/>
      <w:lang w:val="en-US" w:eastAsia="zh-CN" w:bidi="ar-SA"/>
    </w:rPr>
  </w:style>
  <w:style w:type="paragraph" w:customStyle="1" w:styleId="61">
    <w:name w:val="样式 36 10 磅"/>
    <w:pPr>
      <w:widowControl w:val="0"/>
      <w:jc w:val="both"/>
    </w:pPr>
    <w:rPr>
      <w:rFonts w:ascii="Times New Roman" w:eastAsia="宋体" w:cs="Times New Roman" w:hAnsi="Times New Roman"/>
      <w:kern w:val="2"/>
      <w:sz w:val="21"/>
      <w:szCs w:val="21"/>
      <w:lang w:val="en-US" w:eastAsia="zh-CN" w:bidi="ar-SA"/>
    </w:rPr>
  </w:style>
  <w:style w:type="paragraph" w:customStyle="1" w:styleId="62">
    <w:name w:val="样式 37 10 磅"/>
    <w:pPr>
      <w:widowControl w:val="0"/>
      <w:jc w:val="both"/>
    </w:pPr>
    <w:rPr>
      <w:rFonts w:ascii="Times New Roman" w:eastAsia="宋体" w:cs="Times New Roman" w:hAnsi="Times New Roman"/>
      <w:kern w:val="2"/>
      <w:sz w:val="21"/>
      <w:szCs w:val="21"/>
      <w:lang w:val="en-US" w:eastAsia="zh-CN" w:bidi="ar-SA"/>
    </w:rPr>
  </w:style>
  <w:style w:type="paragraph" w:customStyle="1" w:styleId="63">
    <w:name w:val="样式 38 10 磅"/>
    <w:pPr>
      <w:widowControl w:val="0"/>
      <w:jc w:val="both"/>
    </w:pPr>
    <w:rPr>
      <w:rFonts w:ascii="Times New Roman" w:eastAsia="宋体" w:cs="Times New Roman" w:hAnsi="Times New Roman"/>
      <w:kern w:val="2"/>
      <w:sz w:val="21"/>
      <w:szCs w:val="21"/>
      <w:lang w:val="en-US" w:eastAsia="zh-CN" w:bidi="ar-SA"/>
    </w:rPr>
  </w:style>
  <w:style w:type="paragraph" w:customStyle="1" w:styleId="64">
    <w:name w:val="样式 39 10 磅"/>
    <w:pPr>
      <w:widowControl w:val="0"/>
      <w:jc w:val="both"/>
    </w:pPr>
    <w:rPr>
      <w:rFonts w:ascii="Times New Roman" w:eastAsia="宋体" w:cs="Times New Roman" w:hAnsi="Times New Roman"/>
      <w:kern w:val="2"/>
      <w:sz w:val="21"/>
      <w:szCs w:val="21"/>
      <w:lang w:val="en-US" w:eastAsia="zh-CN" w:bidi="ar-SA"/>
    </w:rPr>
  </w:style>
  <w:style w:type="paragraph" w:customStyle="1" w:styleId="65">
    <w:name w:val="样式 40 10 磅"/>
    <w:pPr>
      <w:widowControl w:val="0"/>
      <w:jc w:val="both"/>
    </w:pPr>
    <w:rPr>
      <w:rFonts w:ascii="Times New Roman" w:eastAsia="宋体" w:cs="Times New Roman" w:hAnsi="Times New Roman"/>
      <w:kern w:val="2"/>
      <w:sz w:val="21"/>
      <w:szCs w:val="21"/>
      <w:lang w:val="en-US" w:eastAsia="zh-CN" w:bidi="ar-SA"/>
    </w:rPr>
  </w:style>
  <w:style w:type="paragraph" w:customStyle="1" w:styleId="66">
    <w:name w:val="样式 41 10 磅"/>
    <w:pPr>
      <w:widowControl w:val="0"/>
      <w:jc w:val="both"/>
    </w:pPr>
    <w:rPr>
      <w:rFonts w:ascii="Times New Roman" w:eastAsia="宋体" w:cs="Times New Roman" w:hAnsi="Times New Roman"/>
      <w:kern w:val="2"/>
      <w:sz w:val="21"/>
      <w:szCs w:val="21"/>
      <w:lang w:val="en-US" w:eastAsia="zh-CN" w:bidi="ar-SA"/>
    </w:rPr>
  </w:style>
  <w:style w:type="paragraph" w:customStyle="1" w:styleId="67">
    <w:name w:val="样式 42 10 磅"/>
    <w:pPr>
      <w:widowControl w:val="0"/>
      <w:jc w:val="both"/>
    </w:pPr>
    <w:rPr>
      <w:rFonts w:ascii="Times New Roman" w:eastAsia="宋体" w:cs="Times New Roman" w:hAnsi="Times New Roman"/>
      <w:kern w:val="2"/>
      <w:sz w:val="21"/>
      <w:szCs w:val="21"/>
      <w:lang w:val="en-US" w:eastAsia="zh-CN" w:bidi="ar-SA"/>
    </w:rPr>
  </w:style>
  <w:style w:type="paragraph" w:customStyle="1" w:styleId="68">
    <w:name w:val="样式 43 10 磅"/>
    <w:pPr>
      <w:widowControl w:val="0"/>
      <w:jc w:val="both"/>
    </w:pPr>
    <w:rPr>
      <w:rFonts w:ascii="Times New Roman" w:eastAsia="宋体" w:cs="Times New Roman" w:hAnsi="Times New Roman"/>
      <w:kern w:val="2"/>
      <w:sz w:val="21"/>
      <w:szCs w:val="21"/>
      <w:lang w:val="en-US" w:eastAsia="zh-CN" w:bidi="ar-SA"/>
    </w:rPr>
  </w:style>
  <w:style w:type="paragraph" w:customStyle="1" w:styleId="69">
    <w:name w:val="样式 44 10 磅"/>
    <w:pPr>
      <w:widowControl w:val="0"/>
      <w:jc w:val="both"/>
    </w:pPr>
    <w:rPr>
      <w:rFonts w:ascii="Times New Roman" w:eastAsia="宋体" w:cs="Times New Roman" w:hAnsi="Times New Roman"/>
      <w:kern w:val="2"/>
      <w:sz w:val="21"/>
      <w:szCs w:val="21"/>
      <w:lang w:val="en-US" w:eastAsia="zh-CN" w:bidi="ar-SA"/>
    </w:rPr>
  </w:style>
  <w:style w:type="paragraph" w:customStyle="1" w:styleId="70">
    <w:name w:val="样式 45 10 磅"/>
    <w:pPr>
      <w:widowControl w:val="0"/>
      <w:jc w:val="both"/>
    </w:pPr>
    <w:rPr>
      <w:rFonts w:ascii="Times New Roman" w:eastAsia="宋体" w:cs="Times New Roman" w:hAnsi="Times New Roman"/>
      <w:kern w:val="2"/>
      <w:sz w:val="21"/>
      <w:szCs w:val="21"/>
      <w:lang w:val="en-US" w:eastAsia="zh-CN" w:bidi="ar-SA"/>
    </w:rPr>
  </w:style>
  <w:style w:type="paragraph" w:customStyle="1" w:styleId="71">
    <w:name w:val="样式 46 10 磅"/>
    <w:pPr>
      <w:widowControl w:val="0"/>
      <w:jc w:val="both"/>
    </w:pPr>
    <w:rPr>
      <w:rFonts w:ascii="Times New Roman" w:eastAsia="宋体" w:cs="Times New Roman" w:hAnsi="Times New Roman"/>
      <w:kern w:val="2"/>
      <w:sz w:val="21"/>
      <w:szCs w:val="21"/>
      <w:lang w:val="en-US" w:eastAsia="zh-CN" w:bidi="ar-SA"/>
    </w:rPr>
  </w:style>
  <w:style w:type="paragraph" w:customStyle="1" w:styleId="72">
    <w:name w:val="样式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73">
    <w:name w:val="样式 1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74">
    <w:name w:val="样式 47 10 磅"/>
    <w:pPr>
      <w:widowControl w:val="0"/>
      <w:jc w:val="both"/>
    </w:pPr>
    <w:rPr>
      <w:rFonts w:ascii="Times New Roman" w:eastAsia="宋体" w:cs="Times New Roman" w:hAnsi="Times New Roman"/>
      <w:kern w:val="2"/>
      <w:sz w:val="21"/>
      <w:szCs w:val="21"/>
      <w:lang w:val="en-US" w:eastAsia="zh-CN" w:bidi="ar-SA"/>
    </w:rPr>
  </w:style>
  <w:style w:type="paragraph" w:customStyle="1" w:styleId="75">
    <w:name w:val="样式 73 10 磅"/>
    <w:basedOn w:val="0"/>
    <w:pPr>
      <w:keepNext w:val="0"/>
      <w:keepLines w:val="0"/>
      <w:widowControl w:val="0"/>
      <w:suppressLineNumbers w:val="0"/>
      <w:spacing w:before="0" w:beforeAutospacing="0" w:after="0" w:afterAutospacing="0" w:line="240" w:lineRule="auto"/>
      <w:ind w:left="0" w:firstLineChars="200" w:firstLine="200"/>
      <w:jc w:val="both"/>
    </w:pPr>
    <w:rPr>
      <w:rFonts w:ascii="Calibri" w:eastAsia="宋体" w:cs="Times New Roman" w:hAnsi="Calibri"/>
      <w:spacing w:val="0"/>
      <w:kern w:val="2"/>
      <w:sz w:val="21"/>
      <w:szCs w:val="22"/>
      <w:lang w:val="en-US" w:eastAsia="zh-CN"/>
    </w:rPr>
  </w:style>
  <w:style w:type="paragraph" w:customStyle="1" w:styleId="76">
    <w:name w:val="样式 83 小四"/>
    <w:basedOn w:val="0"/>
    <w:pPr>
      <w:keepNext w:val="0"/>
      <w:keepLines w:val="0"/>
      <w:widowControl/>
      <w:suppressLineNumbers w:val="0"/>
      <w:spacing w:before="0" w:beforeAutospacing="0" w:after="0" w:afterAutospacing="0" w:line="240" w:lineRule="auto"/>
      <w:ind w:left="0" w:firstLine="0"/>
      <w:jc w:val="left"/>
    </w:pPr>
    <w:rPr>
      <w:rFonts w:ascii="Times New Roman" w:eastAsia="宋体" w:cs="Times New Roman" w:hAnsi="Times New Roman"/>
      <w:spacing w:val="0"/>
      <w:kern w:val="0"/>
      <w:sz w:val="24"/>
      <w:szCs w:val="24"/>
      <w:lang w:val="en-US" w:eastAsia="zh-CN"/>
    </w:rPr>
  </w:style>
  <w:style w:type="paragraph" w:customStyle="1" w:styleId="77">
    <w:name w:val="样式 88 小四"/>
    <w:basedOn w:val="0"/>
    <w:pPr>
      <w:keepNext w:val="0"/>
      <w:keepLines w:val="0"/>
      <w:widowControl/>
      <w:suppressLineNumbers w:val="0"/>
      <w:spacing w:before="0" w:beforeAutospacing="0" w:after="0" w:afterAutospacing="0" w:line="240" w:lineRule="auto"/>
      <w:ind w:left="0" w:firstLine="0"/>
      <w:jc w:val="left"/>
    </w:pPr>
    <w:rPr>
      <w:rFonts w:ascii="Times New Roman" w:eastAsia="宋体" w:cs="Times New Roman" w:hAnsi="Times New Roman"/>
      <w:spacing w:val="0"/>
      <w:kern w:val="0"/>
      <w:sz w:val="24"/>
      <w:szCs w:val="24"/>
      <w:lang w:val="en-US" w:eastAsia="zh-CN"/>
    </w:rPr>
  </w:style>
  <w:style w:type="paragraph" w:customStyle="1" w:styleId="78">
    <w:name w:val="样式 89 小四"/>
    <w:basedOn w:val="0"/>
    <w:pPr>
      <w:keepNext w:val="0"/>
      <w:keepLines w:val="0"/>
      <w:widowControl/>
      <w:suppressLineNumbers w:val="0"/>
      <w:spacing w:before="0" w:beforeAutospacing="0" w:after="0" w:afterAutospacing="0" w:line="240" w:lineRule="auto"/>
      <w:ind w:left="0" w:firstLine="0"/>
      <w:jc w:val="left"/>
    </w:pPr>
    <w:rPr>
      <w:rFonts w:ascii="Times New Roman" w:eastAsia="宋体" w:cs="Times New Roman" w:hAnsi="Times New Roman"/>
      <w:spacing w:val="0"/>
      <w:kern w:val="0"/>
      <w:sz w:val="24"/>
      <w:szCs w:val="24"/>
      <w:lang w:val="en-US" w:eastAsia="zh-CN"/>
    </w:rPr>
  </w:style>
  <w:style w:type="paragraph" w:customStyle="1" w:styleId="79">
    <w:name w:val="样式 100 小四"/>
    <w:basedOn w:val="0"/>
    <w:pPr>
      <w:keepNext w:val="0"/>
      <w:keepLines w:val="0"/>
      <w:widowControl/>
      <w:suppressLineNumbers w:val="0"/>
      <w:spacing w:before="0" w:beforeAutospacing="0" w:after="0" w:afterAutospacing="0" w:line="240" w:lineRule="auto"/>
      <w:ind w:left="0" w:firstLine="0"/>
      <w:jc w:val="left"/>
    </w:pPr>
    <w:rPr>
      <w:rFonts w:ascii="Times New Roman" w:eastAsia="宋体" w:cs="Times New Roman" w:hAnsi="Times New Roman"/>
      <w:spacing w:val="0"/>
      <w:kern w:val="0"/>
      <w:sz w:val="24"/>
      <w:szCs w:val="24"/>
      <w:lang w:val="en-US" w:eastAsia="zh-CN"/>
    </w:rPr>
  </w:style>
  <w:style w:type="paragraph" w:customStyle="1" w:styleId="80">
    <w:name w:val="样式 小四"/>
    <w:pPr>
      <w:keepNext w:val="0"/>
      <w:keepLines w:val="0"/>
      <w:widowControl/>
      <w:suppressLineNumbers w:val="0"/>
      <w:spacing w:before="0" w:beforeAutospacing="0" w:after="0" w:afterAutospacing="0" w:line="240" w:lineRule="auto"/>
      <w:ind w:left="0" w:firstLine="0"/>
      <w:jc w:val="left"/>
    </w:pPr>
    <w:rPr>
      <w:rFonts w:ascii="Times New Roman" w:eastAsia="宋体" w:cs="Times New Roman" w:hAnsi="Times New Roman"/>
      <w:spacing w:val="0"/>
      <w:kern w:val="0"/>
      <w:sz w:val="24"/>
      <w:szCs w:val="24"/>
      <w:lang w:val="en-US" w:eastAsia="zh-CN" w:bidi="ar-SA"/>
    </w:rPr>
  </w:style>
  <w:style w:type="paragraph" w:customStyle="1" w:styleId="81">
    <w:name w:val="样式 2 小四"/>
    <w:pPr>
      <w:keepNext w:val="0"/>
      <w:keepLines w:val="0"/>
      <w:widowControl/>
      <w:suppressLineNumbers w:val="0"/>
      <w:spacing w:before="0" w:beforeAutospacing="0" w:after="0" w:afterAutospacing="0" w:line="240" w:lineRule="auto"/>
      <w:ind w:left="0" w:firstLine="0"/>
      <w:jc w:val="left"/>
    </w:pPr>
    <w:rPr>
      <w:rFonts w:ascii="Times New Roman" w:eastAsia="宋体" w:cs="Times New Roman" w:hAnsi="Times New Roman"/>
      <w:spacing w:val="0"/>
      <w:kern w:val="0"/>
      <w:sz w:val="24"/>
      <w:szCs w:val="24"/>
      <w:lang w:val="en-US" w:eastAsia="zh-CN" w:bidi="ar-SA"/>
    </w:rPr>
  </w:style>
  <w:style w:type="paragraph" w:customStyle="1" w:styleId="82">
    <w:name w:val="样式 3 小四"/>
    <w:pPr>
      <w:keepNext w:val="0"/>
      <w:keepLines w:val="0"/>
      <w:widowControl/>
      <w:suppressLineNumbers w:val="0"/>
      <w:spacing w:before="0" w:beforeAutospacing="0" w:after="0" w:afterAutospacing="0" w:line="240" w:lineRule="auto"/>
      <w:ind w:left="0" w:firstLine="0"/>
      <w:jc w:val="left"/>
    </w:pPr>
    <w:rPr>
      <w:rFonts w:ascii="Times New Roman" w:eastAsia="宋体" w:cs="Times New Roman" w:hAnsi="Times New Roman"/>
      <w:spacing w:val="0"/>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png"/><Relationship Id="rId3" Type="http://schemas.openxmlformats.org/officeDocument/2006/relationships/oleObject" Target="embeddings/oleObject1.bin"/><Relationship Id="rId4" Type="http://schemas.openxmlformats.org/officeDocument/2006/relationships/image" Target="media/4.png"/><Relationship Id="rId5" Type="http://schemas.openxmlformats.org/officeDocument/2006/relationships/oleObject" Target="embeddings/oleObject2.bin"/><Relationship Id="rId6" Type="http://schemas.openxmlformats.org/officeDocument/2006/relationships/image" Target="media/6.png"/><Relationship Id="rId7" Type="http://schemas.openxmlformats.org/officeDocument/2006/relationships/oleObject" Target="embeddings/oleObject3.bin"/><Relationship Id="rId8" Type="http://schemas.openxmlformats.org/officeDocument/2006/relationships/image" Target="media/8.png"/><Relationship Id="rId9" Type="http://schemas.openxmlformats.org/officeDocument/2006/relationships/oleObject" Target="embeddings/oleObject4.bin"/><Relationship Id="rId10" Type="http://schemas.openxmlformats.org/officeDocument/2006/relationships/image" Target="media/10.png"/><Relationship Id="rId11" Type="http://schemas.openxmlformats.org/officeDocument/2006/relationships/oleObject" Target="embeddings/oleObject5.bin"/><Relationship Id="rId12" Type="http://schemas.openxmlformats.org/officeDocument/2006/relationships/image" Target="media/12.png"/><Relationship Id="rId13" Type="http://schemas.openxmlformats.org/officeDocument/2006/relationships/oleObject" Target="embeddings/oleObject6.bin"/><Relationship Id="rId14" Type="http://schemas.openxmlformats.org/officeDocument/2006/relationships/styles" Target="styles.xml"/><Relationship Id="rId15" Type="http://schemas.openxmlformats.org/officeDocument/2006/relationships/numbering" Target="numbering.xml"/><Relationship Id="rId16" Type="http://schemas.openxmlformats.org/officeDocument/2006/relationships/fontTable" Target="fontTable.xml"/></Relationships>
</file>

<file path=docProps/app.xml><?xml version="1.0" encoding="utf-8"?>
<Properties xmlns="http://schemas.openxmlformats.org/officeDocument/2006/extended-properties">
  <Template>Normal.eit</Template>
  <TotalTime>44</TotalTime>
  <Application>Yozo_Office</Application>
  <Pages>46</Pages>
  <Words>13888</Words>
  <Characters>16674</Characters>
  <Lines>3026</Lines>
  <Paragraphs>1565</Paragraphs>
  <CharactersWithSpaces>17457</CharactersWithSpaces>
  <Company>MZLHG</Company>
</Properties>
</file>

<file path=docProps/core.xml><?xml version="1.0" encoding="utf-8"?>
<cp:coreProperties xmlns:cp="http://schemas.openxmlformats.org/package/2006/metadata/core-properties" xmlns:dc="http://purl.org/dc/elements/1.1/" xmlns:dcterms="http://purl.org/dc/terms/" xmlns:xsi="http://www.w3.org/2001/XMLSchema-instance">
  <dc:creator>刘潇</dc:creator>
  <cp:lastModifiedBy>李明</cp:lastModifiedBy>
  <cp:revision>2</cp:revision>
  <dcterms:created xsi:type="dcterms:W3CDTF">2024-08-08T08:27:00Z</dcterms:created>
  <dcterms:modified xsi:type="dcterms:W3CDTF">2026-08-12T03:31:23Z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2052-11.1.0.12358</vt:lpwstr>
  </property>
  <property fmtid="{D5CDD505-2E9C-101B-9397-08002B2CF9AE}" pid="3" name="ICV">
    <vt:lpwstr>28E5887A39434BC4A9F0A466F9B2C4F1</vt:lpwstr>
  </property>
</Properties>
</file>