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hint="eastAsia"/>
          <w:sz w:val="48"/>
          <w:szCs w:val="48"/>
          <w:highlight w:val="auto"/>
        </w:rPr>
      </w:pPr>
      <w:bookmarkStart w:id="0" w:name="_GoBack"/>
      <w:bookmarkEnd w:id="0"/>
      <w:r>
        <w:rPr>
          <w:rFonts w:hint="eastAsia"/>
          <w:sz w:val="48"/>
          <w:szCs w:val="48"/>
          <w:highlight w:val="auto"/>
        </w:rPr>
        <w:t xml:space="preserve">       </w:t>
      </w:r>
    </w:p>
    <w:p>
      <w:pPr>
        <w:jc w:val="center"/>
        <w:rPr>
          <w:rFonts w:hint="eastAsia"/>
          <w:sz w:val="48"/>
          <w:szCs w:val="48"/>
          <w:highlight w:val="auto"/>
        </w:rPr>
      </w:pPr>
      <w:r>
        <w:rPr>
          <w:rFonts w:hint="eastAsia"/>
          <w:sz w:val="48"/>
          <w:szCs w:val="48"/>
          <w:lang w:val="en-US" w:eastAsia="zh-CN"/>
          <w:highlight w:val="auto"/>
        </w:rPr>
        <w:t xml:space="preserve">                 </w:t>
      </w:r>
      <w:r>
        <w:rPr>
          <w:color w:val="000000"/>
          <w:sz w:val="48"/>
          <w:szCs w:val="48"/>
          <w:lang w:val="en-US" w:eastAsia="zh-CN"/>
          <w:highlight w:val="auto"/>
        </w:rPr>
        <w:drawing>
          <wp:inline distT="0" distB="0" distL="67944" distR="67944">
            <wp:extent cx="3061970" cy="3061970"/>
            <wp:effectExtent l="0" t="0" r="0" b="0"/>
            <wp:docPr id="1" name="图片 4"/>
            <wp:cNvGraphicFramePr>
              <a:graphicFrameLocks noChangeAspect="1"/>
            </wp:cNvGraphicFramePr>
            <a:graphic>
              <a:graphicData uri="http://schemas.openxmlformats.org/drawingml/2006/picture">
                <pic:pic>
                  <pic:nvPicPr>
                    <pic:cNvPr id="3" name="图片 4 3"/>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rFonts w:hint="eastAsia"/>
          <w:sz w:val="48"/>
          <w:szCs w:val="48"/>
          <w:highlight w:val="auto"/>
        </w:rPr>
      </w:pPr>
      <w:r>
        <w:rPr>
          <w:rFonts w:hint="eastAsia"/>
          <w:sz w:val="48"/>
          <w:szCs w:val="48"/>
          <w:highlight w:val="auto"/>
        </w:rPr>
        <w:t xml:space="preserve">                   </w:t>
      </w:r>
    </w:p>
    <w:p>
      <w:pPr>
        <w:jc w:val="center"/>
        <w:rPr>
          <w:rFonts w:ascii="方正小标宋简体" w:eastAsia="方正小标宋简体" w:cs="方正小标宋简体" w:hint="eastAsia"/>
          <w:sz w:val="84"/>
          <w:szCs w:val="84"/>
          <w:highlight w:val="auto"/>
        </w:rPr>
      </w:pPr>
      <w:r>
        <w:rPr>
          <w:rFonts w:ascii="方正小标宋简体" w:eastAsia="方正小标宋简体" w:cs="方正小标宋简体" w:hint="eastAsia"/>
          <w:sz w:val="84"/>
          <w:szCs w:val="84"/>
          <w:highlight w:val="auto"/>
        </w:rPr>
        <w:t>海拉尔海关部门预算</w:t>
      </w:r>
    </w:p>
    <w:p>
      <w:pPr>
        <w:jc w:val="center"/>
        <w:rPr>
          <w:rFonts w:hint="eastAsia"/>
          <w:sz w:val="44"/>
          <w:szCs w:val="44"/>
          <w:highlight w:val="auto"/>
        </w:rPr>
      </w:pPr>
      <w:r>
        <w:rPr>
          <w:rFonts w:hint="eastAsia"/>
          <w:sz w:val="44"/>
          <w:szCs w:val="44"/>
          <w:highlight w:val="auto"/>
        </w:rPr>
        <w:t>202</w:t>
      </w:r>
      <w:r>
        <w:rPr>
          <w:rFonts w:hint="eastAsia"/>
          <w:sz w:val="44"/>
          <w:szCs w:val="44"/>
          <w:lang w:val="en-US" w:eastAsia="zh-CN"/>
          <w:highlight w:val="auto"/>
        </w:rPr>
        <w:t>5</w:t>
      </w:r>
      <w:r>
        <w:rPr>
          <w:rFonts w:hint="eastAsia"/>
          <w:sz w:val="44"/>
          <w:szCs w:val="44"/>
          <w:highlight w:val="auto"/>
        </w:rPr>
        <w:t>年</w:t>
      </w: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b/>
          <w:sz w:val="44"/>
          <w:szCs w:val="44"/>
          <w:highlight w:val="auto"/>
        </w:rPr>
      </w:pPr>
    </w:p>
    <w:p>
      <w:pPr>
        <w:rPr>
          <w:rFonts w:ascii="宋体" w:hint="eastAsia"/>
          <w:b/>
          <w:sz w:val="44"/>
          <w:szCs w:val="44"/>
        </w:rPr>
      </w:pPr>
    </w:p>
    <w:p>
      <w:pPr>
        <w:jc w:val="center"/>
        <w:rPr>
          <w:rFonts w:ascii="Times New Roman" w:eastAsia="宋体"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rPr>
          <w:b/>
          <w:sz w:val="44"/>
          <w:szCs w:val="44"/>
        </w:rPr>
      </w:pPr>
      <w:r>
        <w:rPr>
          <w:rFonts w:ascii="宋体" w:hint="eastAsia"/>
          <w:b/>
          <w:sz w:val="44"/>
          <w:szCs w:val="44"/>
        </w:rPr>
        <w:t>第一部分</w:t>
      </w:r>
      <w:r>
        <w:rPr>
          <w:rFonts w:hint="eastAsia"/>
          <w:b/>
          <w:sz w:val="44"/>
          <w:szCs w:val="44"/>
        </w:rPr>
        <w:t xml:space="preserve"> </w:t>
      </w:r>
      <w:r>
        <w:rPr>
          <w:rFonts w:hint="eastAsia"/>
          <w:b/>
          <w:sz w:val="44"/>
          <w:szCs w:val="44"/>
          <w:lang w:eastAsia="zh-CN"/>
        </w:rPr>
        <w:t>海拉尔</w:t>
      </w:r>
      <w:r>
        <w:rPr>
          <w:rFonts w:ascii="宋体" w:hint="eastAsia"/>
          <w:b/>
          <w:sz w:val="44"/>
          <w:szCs w:val="44"/>
        </w:rPr>
        <w:t>海关部门概况</w:t>
      </w:r>
    </w:p>
    <w:p>
      <w:pPr>
        <w:rPr>
          <w:sz w:val="36"/>
          <w:szCs w:val="36"/>
        </w:rPr>
      </w:pPr>
      <w:r>
        <w:rPr>
          <w:rFonts w:ascii="宋体" w:hint="eastAsia"/>
          <w:sz w:val="36"/>
          <w:szCs w:val="36"/>
        </w:rPr>
        <w:t>一、主要职能</w:t>
      </w:r>
    </w:p>
    <w:p>
      <w:pPr>
        <w:rPr>
          <w:rFonts w:hint="eastAsia"/>
          <w:sz w:val="36"/>
          <w:szCs w:val="36"/>
        </w:rPr>
      </w:pPr>
      <w:r>
        <w:rPr>
          <w:rFonts w:ascii="宋体" w:hint="eastAsia"/>
          <w:sz w:val="36"/>
          <w:szCs w:val="36"/>
        </w:rPr>
        <w:t>二、海关系统单位构成情况</w:t>
      </w:r>
      <w:r>
        <w:rPr>
          <w:rFonts w:hint="eastAsia"/>
          <w:sz w:val="36"/>
          <w:szCs w:val="36"/>
        </w:rPr>
        <w:t xml:space="preserve"> </w:t>
      </w:r>
    </w:p>
    <w:p>
      <w:pPr>
        <w:rPr>
          <w:rFonts w:hint="eastAsia"/>
          <w:b/>
          <w:sz w:val="44"/>
          <w:szCs w:val="44"/>
        </w:rPr>
      </w:pPr>
      <w:r>
        <w:rPr>
          <w:rFonts w:ascii="宋体" w:hint="eastAsia"/>
          <w:b/>
          <w:sz w:val="44"/>
          <w:szCs w:val="44"/>
        </w:rPr>
        <w:t>第二部分</w:t>
      </w:r>
      <w:r>
        <w:rPr>
          <w:rFonts w:hint="eastAsia"/>
          <w:b/>
          <w:sz w:val="44"/>
          <w:szCs w:val="44"/>
        </w:rPr>
        <w:t xml:space="preserve"> </w:t>
      </w:r>
      <w:r>
        <w:rPr>
          <w:rFonts w:hint="eastAsia"/>
          <w:b/>
          <w:sz w:val="44"/>
          <w:szCs w:val="44"/>
          <w:lang w:eastAsia="zh-CN"/>
        </w:rPr>
        <w:t>海拉尔</w:t>
      </w:r>
      <w:r>
        <w:rPr>
          <w:rFonts w:ascii="宋体" w:hint="eastAsia"/>
          <w:b/>
          <w:sz w:val="44"/>
          <w:szCs w:val="44"/>
        </w:rPr>
        <w:t>海关</w:t>
      </w:r>
      <w:r>
        <w:rPr>
          <w:b/>
          <w:sz w:val="44"/>
          <w:szCs w:val="44"/>
        </w:rPr>
        <w:t>202</w:t>
      </w:r>
      <w:r>
        <w:rPr>
          <w:rFonts w:hint="eastAsia"/>
          <w:b/>
          <w:sz w:val="44"/>
          <w:szCs w:val="44"/>
          <w:lang w:val="en-US" w:eastAsia="zh-CN"/>
        </w:rPr>
        <w:t>5</w:t>
      </w:r>
      <w:r>
        <w:rPr>
          <w:rFonts w:ascii="宋体" w:hint="eastAsia"/>
          <w:b/>
          <w:sz w:val="44"/>
          <w:szCs w:val="44"/>
        </w:rPr>
        <w:t>年部门预算表</w:t>
      </w:r>
    </w:p>
    <w:p>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8"/>
        <w:rPr>
          <w:sz w:val="36"/>
          <w:szCs w:val="36"/>
        </w:rPr>
      </w:pPr>
      <w:r>
        <w:rPr>
          <w:rFonts w:ascii="宋体" w:hint="eastAsia"/>
          <w:sz w:val="36"/>
          <w:szCs w:val="36"/>
        </w:rPr>
        <w:t>二、部门收入总表</w:t>
      </w:r>
    </w:p>
    <w:p>
      <w:pPr>
        <w:pStyle w:val="29"/>
        <w:rPr>
          <w:sz w:val="36"/>
          <w:szCs w:val="36"/>
        </w:rPr>
      </w:pPr>
      <w:r>
        <w:rPr>
          <w:rFonts w:ascii="宋体" w:hint="eastAsia"/>
          <w:sz w:val="36"/>
          <w:szCs w:val="36"/>
        </w:rPr>
        <w:t>三、部门支出总表</w:t>
      </w:r>
    </w:p>
    <w:p>
      <w:pPr>
        <w:rPr>
          <w:sz w:val="36"/>
          <w:szCs w:val="36"/>
        </w:rPr>
      </w:pPr>
      <w:r>
        <w:rPr>
          <w:rFonts w:ascii="宋体" w:hint="eastAsia"/>
          <w:sz w:val="36"/>
          <w:szCs w:val="36"/>
        </w:rPr>
        <w:t>四、</w:t>
      </w:r>
      <w:r>
        <w:rPr>
          <w:rFonts w:ascii="宋体"/>
          <w:sz w:val="36"/>
          <w:szCs w:val="36"/>
        </w:rPr>
        <w:t>财政拨款收支总表</w:t>
      </w:r>
    </w:p>
    <w:p>
      <w:pPr>
        <w:rPr>
          <w:sz w:val="36"/>
          <w:szCs w:val="36"/>
        </w:rPr>
      </w:pPr>
      <w:r>
        <w:rPr>
          <w:rFonts w:ascii="宋体" w:hint="eastAsia"/>
          <w:sz w:val="36"/>
          <w:szCs w:val="36"/>
        </w:rPr>
        <w:t>五、</w:t>
      </w:r>
      <w:r>
        <w:rPr>
          <w:rFonts w:ascii="宋体"/>
          <w:sz w:val="36"/>
          <w:szCs w:val="36"/>
        </w:rPr>
        <w:t>一般公共预算支出表</w:t>
      </w:r>
    </w:p>
    <w:p>
      <w:pPr>
        <w:rPr>
          <w:color w:val="339966"/>
          <w:sz w:val="36"/>
          <w:szCs w:val="36"/>
        </w:rPr>
      </w:pPr>
      <w:r>
        <w:rPr>
          <w:rFonts w:ascii="宋体" w:hint="eastAsia"/>
          <w:sz w:val="36"/>
          <w:szCs w:val="36"/>
        </w:rPr>
        <w:t>六、</w:t>
      </w:r>
      <w:r>
        <w:rPr>
          <w:rFonts w:ascii="宋体"/>
          <w:sz w:val="36"/>
          <w:szCs w:val="36"/>
        </w:rPr>
        <w:t>一般公共预算基本支出表</w:t>
      </w:r>
    </w:p>
    <w:p>
      <w:pPr>
        <w:rPr>
          <w:sz w:val="36"/>
          <w:szCs w:val="36"/>
        </w:rPr>
      </w:pPr>
      <w:r>
        <w:rPr>
          <w:rFonts w:ascii="宋体" w:hint="eastAsia"/>
          <w:sz w:val="36"/>
          <w:szCs w:val="36"/>
        </w:rPr>
        <w:t>七、</w:t>
      </w:r>
      <w:r>
        <w:rPr>
          <w:rFonts w:ascii="宋体"/>
          <w:sz w:val="36"/>
          <w:szCs w:val="36"/>
        </w:rPr>
        <w:t>政府性基金预算支出表</w:t>
      </w:r>
    </w:p>
    <w:p>
      <w:pPr>
        <w:rPr>
          <w:rFonts w:ascii="宋体" w:hint="eastAsia"/>
          <w:sz w:val="36"/>
          <w:szCs w:val="36"/>
        </w:rPr>
      </w:pPr>
      <w:r>
        <w:rPr>
          <w:rFonts w:ascii="宋体" w:hint="eastAsia"/>
          <w:sz w:val="36"/>
          <w:szCs w:val="36"/>
        </w:rPr>
        <w:t>八、</w:t>
      </w:r>
      <w:r>
        <w:rPr>
          <w:rFonts w:ascii="宋体"/>
          <w:sz w:val="36"/>
          <w:szCs w:val="36"/>
        </w:rPr>
        <w:t>国有资本经营预算支出表</w:t>
      </w:r>
    </w:p>
    <w:p>
      <w:pPr>
        <w:rPr>
          <w:rFonts w:hint="eastAsia"/>
          <w:sz w:val="36"/>
          <w:szCs w:val="36"/>
        </w:rPr>
      </w:pPr>
      <w:r>
        <w:rPr>
          <w:rFonts w:ascii="宋体"/>
          <w:sz w:val="36"/>
          <w:szCs w:val="36"/>
        </w:rPr>
        <w:t>九、</w:t>
      </w:r>
      <w:r>
        <w:rPr>
          <w:rFonts w:ascii="宋体" w:hint="eastAsia"/>
          <w:sz w:val="36"/>
          <w:szCs w:val="36"/>
        </w:rPr>
        <w:t>财政拨款预算“三公”经费支出表</w:t>
      </w:r>
    </w:p>
    <w:p>
      <w:pPr>
        <w:ind w:left="2146" w:hangingChars="492" w:hanging="2164"/>
        <w:rPr>
          <w:rFonts w:ascii="宋体"/>
          <w:b/>
          <w:sz w:val="44"/>
          <w:szCs w:val="44"/>
        </w:rPr>
      </w:pPr>
      <w:r>
        <w:rPr>
          <w:rFonts w:ascii="宋体" w:hint="eastAsia"/>
          <w:b/>
          <w:sz w:val="44"/>
          <w:szCs w:val="44"/>
        </w:rPr>
        <w:t>第三部分</w:t>
      </w:r>
      <w:r>
        <w:rPr>
          <w:rFonts w:ascii="宋体"/>
          <w:b/>
          <w:sz w:val="44"/>
          <w:szCs w:val="44"/>
        </w:rPr>
        <w:t xml:space="preserve"> </w:t>
      </w:r>
      <w:r>
        <w:rPr>
          <w:rFonts w:hint="eastAsia"/>
          <w:b/>
          <w:sz w:val="44"/>
          <w:szCs w:val="44"/>
          <w:lang w:eastAsia="zh-CN"/>
        </w:rPr>
        <w:t>海拉尔</w:t>
      </w:r>
      <w:r>
        <w:rPr>
          <w:rFonts w:ascii="宋体" w:hint="eastAsia"/>
          <w:b/>
          <w:sz w:val="44"/>
          <w:szCs w:val="44"/>
        </w:rPr>
        <w:t>海关</w:t>
      </w:r>
      <w:r>
        <w:rPr>
          <w:b/>
          <w:sz w:val="44"/>
          <w:szCs w:val="44"/>
        </w:rPr>
        <w:t>202</w:t>
      </w:r>
      <w:r>
        <w:rPr>
          <w:rFonts w:hint="eastAsia"/>
          <w:b/>
          <w:sz w:val="44"/>
          <w:szCs w:val="44"/>
          <w:lang w:val="en-US" w:eastAsia="zh-CN"/>
        </w:rPr>
        <w:t>5</w:t>
      </w:r>
      <w:r>
        <w:rPr>
          <w:rFonts w:ascii="宋体" w:hint="eastAsia"/>
          <w:b/>
          <w:sz w:val="44"/>
          <w:szCs w:val="44"/>
        </w:rPr>
        <w:t>年部门预算情况</w:t>
      </w:r>
    </w:p>
    <w:p>
      <w:pPr>
        <w:ind w:leftChars="928" w:left="2133" w:hangingChars="42" w:hanging="184"/>
        <w:rPr>
          <w:b/>
          <w:sz w:val="44"/>
          <w:szCs w:val="44"/>
        </w:rPr>
      </w:pPr>
      <w:r>
        <w:rPr>
          <w:rFonts w:ascii="宋体" w:hint="eastAsia"/>
          <w:b/>
          <w:sz w:val="44"/>
          <w:szCs w:val="44"/>
        </w:rPr>
        <w:t>说明</w:t>
      </w:r>
    </w:p>
    <w:p>
      <w:pPr>
        <w:rPr>
          <w:b/>
          <w:sz w:val="44"/>
          <w:szCs w:val="44"/>
        </w:rPr>
      </w:pPr>
      <w:r>
        <w:rPr>
          <w:rFonts w:ascii="宋体" w:hint="eastAsia"/>
          <w:b/>
          <w:sz w:val="44"/>
          <w:szCs w:val="44"/>
        </w:rPr>
        <w:t>第四部分名词解释</w:t>
      </w:r>
    </w:p>
    <w:p>
      <w:pPr>
        <w:rPr>
          <w:rFonts w:ascii="宋体" w:hint="eastAsia"/>
          <w:b/>
          <w:sz w:val="44"/>
          <w:szCs w:val="44"/>
        </w:r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rFonts w:ascii="Times New Roman" w:hAnsi="Times New Roman" w:hint="eastAsia"/>
          <w:b/>
          <w:sz w:val="84"/>
          <w:szCs w:val="84"/>
          <w:highlight w:val="auto"/>
        </w:rPr>
      </w:pPr>
    </w:p>
    <w:p>
      <w:pPr>
        <w:jc w:val="center"/>
        <w:rPr>
          <w:rFonts w:ascii="Times New Roman" w:hAnsi="Times New Roman" w:hint="eastAsia"/>
          <w:b/>
          <w:sz w:val="84"/>
          <w:szCs w:val="84"/>
          <w:highlight w:val="auto"/>
        </w:rPr>
      </w:pPr>
    </w:p>
    <w:p>
      <w:pPr>
        <w:jc w:val="center"/>
        <w:rPr>
          <w:rFonts w:ascii="Times New Roman" w:hAnsi="Times New Roman" w:hint="eastAsia"/>
          <w:b/>
          <w:sz w:val="84"/>
          <w:szCs w:val="84"/>
          <w:highlight w:val="auto"/>
        </w:rPr>
      </w:pPr>
    </w:p>
    <w:p>
      <w:pPr>
        <w:jc w:val="center"/>
        <w:rPr>
          <w:rFonts w:ascii="Times New Roman" w:hAnsi="Times New Roman" w:hint="eastAsia"/>
          <w:b/>
          <w:sz w:val="84"/>
          <w:szCs w:val="84"/>
          <w:highlight w:val="auto"/>
        </w:rPr>
      </w:pPr>
    </w:p>
    <w:p>
      <w:pPr>
        <w:jc w:val="center"/>
        <w:rPr>
          <w:rFonts w:ascii="Times New Roman" w:hAnsi="Times New Roman"/>
          <w:b/>
          <w:sz w:val="84"/>
          <w:szCs w:val="84"/>
          <w:highlight w:val="auto"/>
        </w:rPr>
      </w:pPr>
      <w:r>
        <w:rPr>
          <w:rFonts w:ascii="Times New Roman" w:hAnsi="Times New Roman" w:hint="eastAsia"/>
          <w:b/>
          <w:sz w:val="84"/>
          <w:szCs w:val="84"/>
          <w:highlight w:val="auto"/>
        </w:rPr>
        <w:t>第一部分</w:t>
      </w:r>
    </w:p>
    <w:p>
      <w:pPr>
        <w:jc w:val="center"/>
        <w:rPr>
          <w:rFonts w:ascii="Times New Roman" w:hAnsi="Times New Roman"/>
          <w:b/>
          <w:sz w:val="84"/>
          <w:szCs w:val="84"/>
          <w:highlight w:val="auto"/>
        </w:rPr>
      </w:pPr>
      <w:r>
        <w:rPr>
          <w:rFonts w:hint="eastAsia"/>
          <w:b/>
          <w:sz w:val="84"/>
          <w:szCs w:val="84"/>
          <w:lang w:eastAsia="zh-CN"/>
          <w:highlight w:val="auto"/>
        </w:rPr>
        <w:t>海拉尔</w:t>
      </w:r>
      <w:r>
        <w:rPr>
          <w:rFonts w:ascii="Times New Roman" w:hAnsi="Times New Roman" w:hint="eastAsia"/>
          <w:b/>
          <w:sz w:val="84"/>
          <w:szCs w:val="84"/>
          <w:highlight w:val="auto"/>
        </w:rPr>
        <w:t>海关部门概况</w:t>
      </w:r>
    </w:p>
    <w:p>
      <w:pPr>
        <w:spacing w:line="560" w:lineRule="exact"/>
        <w:rPr>
          <w:rFonts w:ascii="Times New Roman" w:eastAsia="方正仿宋_GBK" w:hAnsi="Times New Roman"/>
          <w:sz w:val="32"/>
          <w:szCs w:val="32"/>
          <w:highlight w:val="auto"/>
        </w:rPr>
      </w:pPr>
    </w:p>
    <w:p>
      <w:pPr>
        <w:autoSpaceDN w:val="0"/>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_GBK" w:hAnsi="Times New Roman" w:hint="eastAsia"/>
          <w:sz w:val="32"/>
          <w:szCs w:val="32"/>
          <w:highlight w:val="auto"/>
        </w:rPr>
        <w:br w:type="page"/>
      </w:r>
    </w:p>
    <w:p>
      <w:pPr>
        <w:autoSpaceDN w:val="0"/>
        <w:spacing w:line="560" w:lineRule="exact"/>
        <w:ind w:firstLineChars="200" w:firstLine="640"/>
        <w:rPr>
          <w:rFonts w:ascii="Times New Roman" w:eastAsia="方正仿宋_GBK" w:hAnsi="Times New Roman" w:hint="eastAsia"/>
          <w:sz w:val="32"/>
          <w:szCs w:val="32"/>
          <w:highlight w:val="auto"/>
        </w:rPr>
      </w:pPr>
      <w:r>
        <w:rPr>
          <w:rFonts w:ascii="Times New Roman" w:eastAsia="方正黑体_GBK" w:cs="方正黑体_GBK" w:hAnsi="Times New Roman" w:hint="eastAsia"/>
          <w:sz w:val="32"/>
          <w:szCs w:val="32"/>
          <w:lang w:bidi="ar-SA"/>
          <w:highlight w:val="auto"/>
        </w:rPr>
        <w:t>一、主要职能</w:t>
      </w: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方正仿宋_GBK" w:eastAsia="方正仿宋_GBK" w:cs="方正仿宋简体" w:hint="eastAsia"/>
          <w:sz w:val="32"/>
          <w:szCs w:val="32"/>
          <w:highlight w:val="auto"/>
        </w:rPr>
      </w:pPr>
      <w:r>
        <w:rPr>
          <w:rFonts w:ascii="方正仿宋_GBK" w:eastAsia="方正仿宋_GBK" w:cs="方正仿宋简体" w:hint="eastAsia"/>
          <w:bCs/>
        </w:rPr>
        <w:t>受满洲里海关直</w:t>
      </w:r>
      <w:r>
        <w:rPr>
          <w:rFonts w:ascii="方正仿宋_GBK" w:eastAsia="方正仿宋_GBK" w:cs="方正仿宋简体" w:hint="eastAsia"/>
          <w:bCs/>
          <w:lang w:eastAsia="zh-CN"/>
        </w:rPr>
        <w:t>接</w:t>
      </w:r>
      <w:r>
        <w:rPr>
          <w:rFonts w:ascii="方正仿宋_GBK" w:eastAsia="方正仿宋_GBK" w:cs="方正仿宋简体" w:hint="eastAsia"/>
          <w:bCs/>
        </w:rPr>
        <w:t>领导，按授权负责指定口岸和区域范围内海关各类管理工作的执行机构。主要负责党的基层组织建设和干部队伍建设；办理具体海关业务，反馈执法作业结果；完成满洲里海关交办的其他工作。</w:t>
      </w:r>
    </w:p>
    <w:p>
      <w:pPr>
        <w:autoSpaceDN w:val="0"/>
        <w:spacing w:line="560" w:lineRule="exact"/>
        <w:ind w:firstLineChars="200" w:firstLine="640"/>
        <w:rPr>
          <w:rFonts w:ascii="Times New Roman" w:eastAsia="方正黑体_GBK" w:cs="方正黑体_GBK" w:hAnsi="Times New Roman" w:hint="eastAsia"/>
          <w:sz w:val="32"/>
          <w:szCs w:val="32"/>
          <w:lang w:bidi="ar-SA"/>
          <w:highlight w:val="auto"/>
        </w:rPr>
      </w:pPr>
      <w:r>
        <w:rPr>
          <w:rFonts w:ascii="Times New Roman" w:eastAsia="方正黑体_GBK" w:cs="方正黑体_GBK" w:hAnsi="Times New Roman" w:hint="eastAsia"/>
          <w:sz w:val="32"/>
          <w:szCs w:val="32"/>
          <w:lang w:bidi="ar-SA"/>
          <w:highlight w:val="auto"/>
        </w:rPr>
        <w:t>二、</w:t>
      </w:r>
      <w:r>
        <w:rPr>
          <w:rFonts w:eastAsia="方正黑体_GBK" w:cs="方正黑体_GBK" w:hint="eastAsia"/>
          <w:sz w:val="32"/>
          <w:szCs w:val="32"/>
          <w:lang w:eastAsia="zh-CN" w:bidi="ar-SA"/>
          <w:highlight w:val="auto"/>
        </w:rPr>
        <w:t>海拉尔</w:t>
      </w:r>
      <w:r>
        <w:rPr>
          <w:rFonts w:ascii="Times New Roman" w:eastAsia="方正黑体_GBK" w:cs="方正黑体_GBK" w:hAnsi="Times New Roman" w:hint="eastAsia"/>
          <w:sz w:val="32"/>
          <w:szCs w:val="32"/>
          <w:lang w:bidi="ar-SA"/>
          <w:highlight w:val="auto"/>
        </w:rPr>
        <w:t>海关系统单位构成情况</w:t>
      </w: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方正仿宋_GBK" w:eastAsia="方正仿宋_GBK" w:cs="方正仿宋简体" w:hint="eastAsia"/>
          <w:bCs/>
          <w:lang w:eastAsia="zh-CN"/>
        </w:rPr>
      </w:pPr>
      <w:r>
        <w:rPr>
          <w:rFonts w:ascii="方正仿宋_GBK" w:eastAsia="方正仿宋_GBK" w:cs="方正仿宋简体" w:hint="eastAsia"/>
          <w:bCs/>
        </w:rPr>
        <w:t>全国海关实行垂直管理体制</w:t>
      </w:r>
      <w:r>
        <w:rPr>
          <w:rFonts w:ascii="方正仿宋_GBK" w:eastAsia="方正仿宋_GBK" w:cs="方正仿宋简体" w:hint="eastAsia"/>
          <w:bCs/>
          <w:lang w:eastAsia="zh-CN"/>
        </w:rPr>
        <w:t>，海拉尔海关</w:t>
      </w:r>
      <w:r>
        <w:rPr>
          <w:rFonts w:ascii="方正仿宋_GBK" w:eastAsia="方正仿宋_GBK" w:cs="方正仿宋简体" w:hint="eastAsia"/>
          <w:bCs/>
        </w:rPr>
        <w:t>受满洲里海关直</w:t>
      </w:r>
      <w:r>
        <w:rPr>
          <w:rFonts w:ascii="方正仿宋_GBK" w:eastAsia="方正仿宋_GBK" w:cs="方正仿宋简体" w:hint="eastAsia"/>
          <w:bCs/>
          <w:lang w:eastAsia="zh-CN"/>
        </w:rPr>
        <w:t>接</w:t>
      </w:r>
      <w:r>
        <w:rPr>
          <w:rFonts w:ascii="方正仿宋_GBK" w:eastAsia="方正仿宋_GBK" w:cs="方正仿宋简体" w:hint="eastAsia"/>
          <w:bCs/>
        </w:rPr>
        <w:t>领导，</w:t>
      </w:r>
      <w:r>
        <w:rPr>
          <w:rFonts w:ascii="方正仿宋_GBK" w:eastAsia="方正仿宋_GBK" w:cs="方正仿宋简体" w:hint="eastAsia"/>
          <w:bCs/>
          <w:lang w:eastAsia="zh-CN"/>
        </w:rPr>
        <w:t>为正处级单位。</w:t>
      </w: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方正仿宋_GBK" w:eastAsia="方正仿宋_GBK" w:cs="方正仿宋简体" w:hint="eastAsia"/>
          <w:bCs/>
        </w:rPr>
      </w:pPr>
      <w:r>
        <w:rPr>
          <w:rFonts w:ascii="方正仿宋_GBK" w:eastAsia="方正仿宋_GBK" w:cs="方正仿宋简体" w:hint="eastAsia"/>
          <w:bCs/>
        </w:rPr>
        <w:t>海拉尔海关内设</w:t>
      </w:r>
      <w:r>
        <w:rPr>
          <w:rFonts w:ascii="方正仿宋_GBK" w:eastAsia="方正仿宋_GBK" w:cs="方正仿宋简体" w:hint="eastAsia"/>
          <w:bCs/>
          <w:lang w:eastAsia="zh-CN"/>
        </w:rPr>
        <w:t>机构如下</w:t>
      </w:r>
      <w:r>
        <w:rPr>
          <w:rFonts w:ascii="方正仿宋_GBK" w:eastAsia="方正仿宋_GBK" w:cs="方正仿宋简体" w:hint="eastAsia"/>
          <w:bCs/>
        </w:rPr>
        <w:t>：办公室、查检科、综合业务科、旅检科</w:t>
      </w:r>
      <w:r>
        <w:rPr>
          <w:rFonts w:ascii="方正仿宋_GBK" w:eastAsia="方正仿宋_GBK" w:cs="方正仿宋简体" w:hint="eastAsia"/>
          <w:bCs/>
          <w:lang w:eastAsia="zh-CN"/>
        </w:rPr>
        <w:t>、稽核查科、</w:t>
      </w:r>
      <w:r>
        <w:rPr>
          <w:rFonts w:ascii="方正仿宋_GBK" w:eastAsia="方正仿宋_GBK" w:cs="方正仿宋简体" w:hint="eastAsia"/>
          <w:bCs/>
          <w:lang w:val="en-US" w:eastAsia="zh-CN"/>
        </w:rPr>
        <w:t>海拉尔海关缉私分局。</w:t>
      </w: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pStyle w:val="2256"/>
        <w:keepNext w:val="0"/>
        <w:keepLines w:val="0"/>
        <w:pageBreakBefore w:val="0"/>
        <w:widowControl w:val="0"/>
        <w:kinsoku/>
        <w:wordWrap/>
        <w:overflowPunct/>
        <w:topLinePunct w:val="0"/>
        <w:autoSpaceDE w:val="0"/>
        <w:autoSpaceDN w:val="0"/>
        <w:bidi w:val="0"/>
        <w:adjustRightInd w:val="0"/>
        <w:snapToGrid w:val="0"/>
        <w:spacing w:line="560" w:lineRule="exact"/>
        <w:ind w:firstLineChars="200" w:firstLine="632"/>
        <w:textAlignment w:val="auto"/>
        <w:outlineLvl w:val="9"/>
        <w:rPr>
          <w:rFonts w:ascii="Times New Roman" w:eastAsia="方正仿宋简体" w:cs="方正仿宋简体" w:hAnsi="Times New Roman" w:hint="eastAsia"/>
          <w:bCs/>
          <w:lang w:val="en-US" w:eastAsia="zh-CN"/>
        </w:rPr>
      </w:pPr>
    </w:p>
    <w:p>
      <w:pPr>
        <w:spacing w:line="560" w:lineRule="exact"/>
        <w:ind w:firstLine="0"/>
        <w:rPr>
          <w:rFonts w:ascii="Times New Roman" w:hAnsi="Times New Roman" w:hint="eastAsia"/>
          <w:sz w:val="32"/>
          <w:szCs w:val="32"/>
          <w:highlight w:val="auto"/>
        </w:rPr>
        <w:sectPr>
          <w:footerReference w:type="default" r:id="rId2"/>
          <w:pgSz w:w="11906" w:h="16838"/>
          <w:pgMar w:top="1440" w:right="1701" w:bottom="1440" w:left="1701" w:header="851" w:footer="992" w:gutter="0"/>
          <w:docGrid w:linePitch="312" w:charSpace="0"/>
        </w:sectPr>
      </w:pPr>
    </w:p>
    <w:p>
      <w:pPr>
        <w:rPr>
          <w:rFonts w:ascii="Times New Roman" w:hAnsi="Times New Roman"/>
          <w:b/>
          <w:sz w:val="44"/>
          <w:szCs w:val="44"/>
          <w:highlight w:val="auto"/>
        </w:rPr>
      </w:pPr>
    </w:p>
    <w:p>
      <w:pPr>
        <w:rPr>
          <w:rFonts w:ascii="Times New Roman" w:hAnsi="Times New Roman"/>
          <w:b/>
          <w:sz w:val="44"/>
          <w:szCs w:val="44"/>
          <w:highlight w:val="auto"/>
        </w:rPr>
      </w:pPr>
    </w:p>
    <w:p>
      <w:pPr>
        <w:rPr>
          <w:rFonts w:ascii="Times New Roman" w:hAnsi="Times New Roman"/>
          <w:b/>
          <w:sz w:val="44"/>
          <w:szCs w:val="44"/>
          <w:highlight w:val="auto"/>
        </w:rPr>
      </w:pPr>
    </w:p>
    <w:p>
      <w:pPr>
        <w:rPr>
          <w:rFonts w:ascii="Times New Roman" w:hAnsi="Times New Roman"/>
          <w:b/>
          <w:sz w:val="44"/>
          <w:szCs w:val="44"/>
          <w:highlight w:val="auto"/>
        </w:rPr>
      </w:pPr>
    </w:p>
    <w:p>
      <w:pPr>
        <w:rPr>
          <w:rFonts w:ascii="Times New Roman" w:hAnsi="Times New Roman"/>
          <w:b/>
          <w:sz w:val="44"/>
          <w:szCs w:val="44"/>
          <w:highlight w:val="auto"/>
        </w:rPr>
      </w:pPr>
    </w:p>
    <w:p>
      <w:pPr>
        <w:rPr>
          <w:rFonts w:ascii="Times New Roman" w:hAnsi="Times New Roman"/>
          <w:b/>
          <w:sz w:val="44"/>
          <w:szCs w:val="44"/>
          <w:highlight w:val="auto"/>
        </w:rPr>
      </w:pPr>
    </w:p>
    <w:p>
      <w:pPr>
        <w:jc w:val="center"/>
        <w:rPr>
          <w:rFonts w:ascii="Times New Roman" w:hAnsi="Times New Roman"/>
          <w:b/>
          <w:sz w:val="72"/>
          <w:szCs w:val="72"/>
          <w:highlight w:val="auto"/>
        </w:rPr>
      </w:pPr>
      <w:r>
        <w:rPr>
          <w:rFonts w:ascii="Times New Roman" w:hAnsi="Times New Roman" w:hint="eastAsia"/>
          <w:b/>
          <w:sz w:val="72"/>
          <w:szCs w:val="72"/>
          <w:highlight w:val="auto"/>
        </w:rPr>
        <w:t>第二部分</w:t>
      </w:r>
      <w:r>
        <w:rPr>
          <w:rFonts w:ascii="Times New Roman" w:hAnsi="Times New Roman"/>
          <w:b/>
          <w:sz w:val="72"/>
          <w:szCs w:val="72"/>
          <w:highlight w:val="auto"/>
        </w:rPr>
        <w:t xml:space="preserve">  </w:t>
      </w:r>
    </w:p>
    <w:p>
      <w:pPr>
        <w:ind w:left="-315"/>
        <w:jc w:val="center"/>
        <w:rPr>
          <w:rFonts w:ascii="Times New Roman" w:hAnsi="Times New Roman"/>
          <w:b/>
          <w:sz w:val="72"/>
          <w:szCs w:val="72"/>
          <w:highlight w:val="auto"/>
        </w:rPr>
        <w:sectPr>
          <w:pgSz w:w="11906" w:h="16838"/>
          <w:pgMar w:top="1440" w:right="1797" w:bottom="1440" w:left="1797" w:header="851" w:footer="992" w:gutter="0"/>
          <w:docGrid w:type="linesAndChars" w:linePitch="312" w:charSpace="0"/>
        </w:sectPr>
      </w:pPr>
      <w:r>
        <w:rPr>
          <w:rFonts w:hint="eastAsia"/>
          <w:b/>
          <w:sz w:val="72"/>
          <w:szCs w:val="72"/>
          <w:lang w:eastAsia="zh-CN"/>
          <w:highlight w:val="auto"/>
        </w:rPr>
        <w:t>海拉尔</w:t>
      </w:r>
      <w:r>
        <w:rPr>
          <w:rFonts w:ascii="Times New Roman" w:hAnsi="Times New Roman" w:hint="eastAsia"/>
          <w:b/>
          <w:sz w:val="72"/>
          <w:szCs w:val="72"/>
          <w:highlight w:val="auto"/>
        </w:rPr>
        <w:t>海关</w:t>
      </w:r>
      <w:r>
        <w:rPr>
          <w:rFonts w:ascii="Times New Roman" w:hAnsi="Times New Roman"/>
          <w:b/>
          <w:sz w:val="72"/>
          <w:szCs w:val="72"/>
          <w:highlight w:val="auto"/>
        </w:rPr>
        <w:t>202</w:t>
      </w:r>
      <w:r>
        <w:rPr>
          <w:rFonts w:hint="eastAsia"/>
          <w:b/>
          <w:sz w:val="72"/>
          <w:szCs w:val="72"/>
          <w:lang w:val="en-US" w:eastAsia="zh-CN"/>
          <w:highlight w:val="auto"/>
        </w:rPr>
        <w:t>5</w:t>
      </w:r>
      <w:r>
        <w:rPr>
          <w:rFonts w:ascii="Times New Roman" w:hAnsi="Times New Roman" w:hint="eastAsia"/>
          <w:b/>
          <w:sz w:val="72"/>
          <w:szCs w:val="72"/>
          <w:highlight w:val="auto"/>
        </w:rPr>
        <w:t>年部门</w:t>
      </w:r>
      <w:r>
        <w:rPr>
          <w:rFonts w:hint="eastAsia"/>
          <w:b/>
          <w:sz w:val="72"/>
          <w:szCs w:val="72"/>
          <w:lang w:val="en-US" w:eastAsia="zh-CN"/>
          <w:highlight w:val="auto"/>
        </w:rPr>
        <w:t xml:space="preserve">  </w:t>
      </w:r>
      <w:r>
        <w:rPr>
          <w:rFonts w:ascii="Times New Roman" w:hAnsi="Times New Roman" w:hint="eastAsia"/>
          <w:b/>
          <w:sz w:val="72"/>
          <w:szCs w:val="72"/>
          <w:highlight w:val="auto"/>
        </w:rPr>
        <w:t>预算表</w:t>
      </w:r>
    </w:p>
    <w:tbl>
      <w:tblPr>
        <w:jc w:val="left"/>
        <w:tblInd w:w="0" w:type="dxa"/>
        <w:tblW w:w="15825"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4319"/>
        <w:gridCol w:w="4317"/>
        <w:gridCol w:w="4124"/>
        <w:gridCol w:w="3065"/>
      </w:tblGrid>
      <w:tr>
        <w:trPr>
          <w:trHeight w:val="301"/>
        </w:trPr>
        <w:tc>
          <w:tcPr>
            <w:tcW w:w="4319" w:type="dxa"/>
            <w:shd w:val="clear" w:color="auto" w:fill="auto"/>
            <w:vAlign w:val="center"/>
          </w:tcPr>
          <w:p>
            <w:pPr>
              <w:jc w:val="left"/>
              <w:rPr>
                <w:rFonts w:hint="eastAsia"/>
              </w:rPr>
            </w:pPr>
            <w:bookmarkStart w:id="1" w:name="RANGE!A1:D18"/>
            <w:bookmarkEnd w:id="1"/>
          </w:p>
          <w:p>
            <w:pPr>
              <w:pStyle w:val="15"/>
              <w:rPr>
                <w:rFonts w:ascii="宋体" w:eastAsia="宋体" w:cs="宋体" w:hint="eastAsia"/>
                <w:i w:val="0"/>
                <w:color w:val="000000"/>
                <w:sz w:val="20"/>
                <w:szCs w:val="20"/>
                <w:u w:val="none"/>
              </w:rPr>
            </w:pPr>
          </w:p>
          <w:p>
            <w:pPr>
              <w:pStyle w:val="15"/>
              <w:rPr>
                <w:rFonts w:ascii="宋体" w:eastAsia="宋体" w:cs="宋体" w:hint="eastAsia"/>
                <w:i w:val="0"/>
                <w:color w:val="000000"/>
                <w:sz w:val="20"/>
                <w:szCs w:val="20"/>
                <w:u w:val="none"/>
              </w:rPr>
            </w:pPr>
          </w:p>
          <w:p>
            <w:pPr>
              <w:pStyle w:val="15"/>
              <w:rPr>
                <w:rFonts w:ascii="宋体" w:eastAsia="宋体" w:cs="宋体" w:hint="eastAsia"/>
                <w:i w:val="0"/>
                <w:color w:val="000000"/>
                <w:sz w:val="20"/>
                <w:szCs w:val="20"/>
                <w:u w:val="none"/>
              </w:rPr>
            </w:pPr>
          </w:p>
          <w:p>
            <w:pPr>
              <w:pStyle w:val="15"/>
              <w:rPr>
                <w:rFonts w:ascii="宋体" w:eastAsia="宋体" w:cs="宋体" w:hint="eastAsia"/>
                <w:i w:val="0"/>
                <w:color w:val="000000"/>
                <w:sz w:val="20"/>
                <w:szCs w:val="20"/>
                <w:u w:val="none"/>
              </w:rPr>
            </w:pPr>
          </w:p>
          <w:p>
            <w:pPr>
              <w:pStyle w:val="15"/>
              <w:rPr>
                <w:rFonts w:ascii="宋体" w:eastAsia="宋体" w:cs="宋体" w:hint="eastAsia"/>
                <w:i w:val="0"/>
                <w:color w:val="000000"/>
                <w:sz w:val="20"/>
                <w:szCs w:val="20"/>
                <w:u w:val="none"/>
              </w:rPr>
            </w:pPr>
          </w:p>
        </w:tc>
        <w:tc>
          <w:tcPr>
            <w:tcW w:w="4317" w:type="dxa"/>
            <w:shd w:val="clear" w:color="auto" w:fill="auto"/>
            <w:vAlign w:val="center"/>
          </w:tcPr>
          <w:p>
            <w:pPr>
              <w:jc w:val="left"/>
              <w:rPr>
                <w:rFonts w:ascii="宋体" w:eastAsia="宋体" w:cs="宋体" w:hint="eastAsia"/>
                <w:i w:val="0"/>
                <w:color w:val="000000"/>
                <w:sz w:val="20"/>
                <w:szCs w:val="20"/>
                <w:u w:val="none"/>
              </w:rPr>
            </w:pPr>
          </w:p>
        </w:tc>
        <w:tc>
          <w:tcPr>
            <w:tcW w:w="4124" w:type="dxa"/>
            <w:shd w:val="clear" w:color="auto" w:fill="auto"/>
            <w:vAlign w:val="center"/>
          </w:tcPr>
          <w:p>
            <w:pPr>
              <w:jc w:val="left"/>
              <w:rPr>
                <w:rFonts w:ascii="宋体" w:eastAsia="宋体" w:cs="宋体" w:hint="eastAsia"/>
                <w:i w:val="0"/>
                <w:color w:val="000000"/>
                <w:sz w:val="20"/>
                <w:szCs w:val="20"/>
                <w:u w:val="none"/>
              </w:rPr>
            </w:pPr>
          </w:p>
        </w:tc>
        <w:tc>
          <w:tcPr>
            <w:tcW w:w="3065" w:type="dxa"/>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部门公开表1</w:t>
            </w:r>
          </w:p>
        </w:tc>
      </w:tr>
      <w:tr>
        <w:trPr>
          <w:trHeight w:val="615"/>
        </w:trPr>
        <w:tc>
          <w:tcPr>
            <w:tcW w:w="15825" w:type="dxa"/>
            <w:gridSpan w:val="4"/>
            <w:shd w:val="clear" w:color="auto" w:fill="auto"/>
            <w:vAlign w:val="center"/>
          </w:tcPr>
          <w:p>
            <w:pPr>
              <w:keepNext w:val="0"/>
              <w:keepLines w:val="0"/>
              <w:widowControl/>
              <w:suppressLineNumbers w:val="0"/>
              <w:jc w:val="center"/>
              <w:textAlignment w:val="center"/>
              <w:rPr>
                <w:rFonts w:ascii="宋体" w:eastAsia="宋体" w:cs="宋体" w:hint="eastAsia"/>
                <w:b/>
                <w:i w:val="0"/>
                <w:color w:val="000000"/>
                <w:sz w:val="48"/>
                <w:szCs w:val="48"/>
                <w:u w:val="none"/>
              </w:rPr>
            </w:pPr>
            <w:r>
              <w:rPr>
                <w:rFonts w:ascii="宋体" w:eastAsia="宋体" w:cs="宋体" w:hint="eastAsia"/>
                <w:b/>
                <w:i w:val="0"/>
                <w:color w:val="000000"/>
                <w:kern w:val="0"/>
                <w:sz w:val="48"/>
                <w:szCs w:val="48"/>
                <w:u w:val="none"/>
                <w:lang w:val="en-US" w:eastAsia="zh-CN"/>
              </w:rPr>
              <w:t>部门收支总表</w:t>
            </w:r>
          </w:p>
        </w:tc>
      </w:tr>
      <w:tr>
        <w:trPr>
          <w:trHeight w:val="330"/>
        </w:trPr>
        <w:tc>
          <w:tcPr>
            <w:tcW w:w="4319" w:type="dxa"/>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单位：中华人民共和国海拉尔海关</w:t>
            </w:r>
          </w:p>
        </w:tc>
        <w:tc>
          <w:tcPr>
            <w:tcW w:w="4317" w:type="dxa"/>
            <w:shd w:val="clear" w:color="auto" w:fill="auto"/>
            <w:vAlign w:val="center"/>
          </w:tcPr>
          <w:p>
            <w:pPr>
              <w:jc w:val="left"/>
              <w:rPr>
                <w:rFonts w:ascii="宋体" w:eastAsia="宋体" w:cs="宋体" w:hint="eastAsia"/>
                <w:i w:val="0"/>
                <w:color w:val="000000"/>
                <w:sz w:val="18"/>
                <w:szCs w:val="18"/>
                <w:u w:val="none"/>
              </w:rPr>
            </w:pPr>
          </w:p>
        </w:tc>
        <w:tc>
          <w:tcPr>
            <w:tcW w:w="4124" w:type="dxa"/>
            <w:shd w:val="clear" w:color="auto" w:fill="auto"/>
            <w:vAlign w:val="center"/>
          </w:tcPr>
          <w:p>
            <w:pPr>
              <w:jc w:val="left"/>
              <w:rPr>
                <w:rFonts w:ascii="宋体" w:eastAsia="宋体" w:cs="宋体" w:hint="eastAsia"/>
                <w:i w:val="0"/>
                <w:color w:val="000000"/>
                <w:sz w:val="18"/>
                <w:szCs w:val="18"/>
                <w:u w:val="none"/>
              </w:rPr>
            </w:pPr>
          </w:p>
        </w:tc>
        <w:tc>
          <w:tcPr>
            <w:tcW w:w="3065" w:type="dxa"/>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单位：万元</w:t>
            </w:r>
          </w:p>
        </w:tc>
      </w:tr>
      <w:tr>
        <w:trPr>
          <w:trHeight w:val="375"/>
        </w:trPr>
        <w:tc>
          <w:tcPr>
            <w:tcW w:w="86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收      入</w:t>
            </w:r>
          </w:p>
        </w:tc>
        <w:tc>
          <w:tcPr>
            <w:tcW w:w="7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支      出</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预算数</w:t>
            </w: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项目</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预算数</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一、一般公共预算拨款收入</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lang w:val="en-US"/>
              </w:rPr>
            </w:pPr>
            <w:r>
              <w:rPr>
                <w:rFonts w:ascii="宋体" w:cs="宋体" w:hint="eastAsia"/>
                <w:i w:val="0"/>
                <w:color w:val="000000"/>
                <w:kern w:val="0"/>
                <w:sz w:val="20"/>
                <w:szCs w:val="20"/>
                <w:u w:val="none"/>
                <w:lang w:val="en-US" w:eastAsia="zh-CN"/>
              </w:rPr>
              <w:t>1766.29</w:t>
            </w: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一、一般公共服务支出</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1298.64</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二、政府性基金预算拨款收入</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二、公共安全支出</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361.72</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三、国有资本经营预算拨款收入</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三、社会保障和就业支出</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158.54</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四、事业收入</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四、卫生健康支出</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68.91</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五、事业单位经营收入</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五、住房保障支出</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lang w:val="en-US"/>
              </w:rPr>
            </w:pPr>
            <w:r>
              <w:rPr>
                <w:rFonts w:ascii="宋体" w:eastAsia="宋体" w:cs="宋体" w:hint="eastAsia"/>
                <w:i w:val="0"/>
                <w:color w:val="000000"/>
                <w:kern w:val="0"/>
                <w:sz w:val="20"/>
                <w:szCs w:val="20"/>
                <w:u w:val="none"/>
                <w:lang w:val="en-US" w:eastAsia="zh-CN"/>
              </w:rPr>
              <w:t>163.5</w:t>
            </w:r>
            <w:r>
              <w:rPr>
                <w:rFonts w:ascii="宋体" w:cs="宋体" w:hint="eastAsia"/>
                <w:i w:val="0"/>
                <w:color w:val="000000"/>
                <w:kern w:val="0"/>
                <w:sz w:val="20"/>
                <w:szCs w:val="20"/>
                <w:u w:val="none"/>
                <w:lang w:val="en-US" w:eastAsia="zh-CN"/>
              </w:rPr>
              <w:t>0</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六、其他收入</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lang w:val="en-US"/>
              </w:rPr>
            </w:pPr>
            <w:r>
              <w:rPr>
                <w:rFonts w:ascii="宋体" w:cs="宋体" w:hint="eastAsia"/>
                <w:i w:val="0"/>
                <w:color w:val="000000"/>
                <w:kern w:val="0"/>
                <w:sz w:val="20"/>
                <w:szCs w:val="20"/>
                <w:u w:val="none"/>
                <w:lang w:val="en-US" w:eastAsia="zh-CN"/>
              </w:rPr>
              <w:t>190.50</w:t>
            </w: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left"/>
              <w:rPr>
                <w:rFonts w:ascii="宋体" w:eastAsia="宋体" w:cs="宋体" w:hint="eastAsia"/>
                <w:i w:val="0"/>
                <w:color w:val="000000"/>
                <w:sz w:val="20"/>
                <w:szCs w:val="20"/>
                <w:u w:val="none"/>
              </w:rPr>
            </w:pP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left"/>
              <w:rPr>
                <w:rFonts w:ascii="宋体" w:eastAsia="宋体" w:cs="宋体" w:hint="eastAsia"/>
                <w:i w:val="0"/>
                <w:color w:val="000000"/>
                <w:sz w:val="20"/>
                <w:szCs w:val="20"/>
                <w:u w:val="none"/>
              </w:rPr>
            </w:pP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left"/>
              <w:rPr>
                <w:rFonts w:ascii="宋体" w:eastAsia="宋体" w:cs="宋体" w:hint="eastAsia"/>
                <w:i w:val="0"/>
                <w:color w:val="000000"/>
                <w:sz w:val="20"/>
                <w:szCs w:val="20"/>
                <w:u w:val="none"/>
              </w:rPr>
            </w:pP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本年收入合计</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1956.79</w:t>
            </w: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本年支出合计</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2051.31</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使用非财政拨款结余</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结转下年（非财政拨款）</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lang w:val="en-US"/>
              </w:rPr>
            </w:pPr>
            <w:r>
              <w:rPr>
                <w:rFonts w:ascii="宋体" w:cs="宋体" w:hint="eastAsia"/>
                <w:i w:val="0"/>
                <w:color w:val="000000"/>
                <w:kern w:val="0"/>
                <w:sz w:val="20"/>
                <w:szCs w:val="20"/>
                <w:u w:val="none"/>
                <w:lang w:val="en-US" w:eastAsia="zh-CN"/>
              </w:rPr>
              <w:t>11.55</w:t>
            </w: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上年结转</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106.07</w:t>
            </w: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left"/>
              <w:rPr>
                <w:rFonts w:ascii="宋体" w:eastAsia="宋体" w:cs="宋体" w:hint="eastAsia"/>
                <w:i w:val="0"/>
                <w:color w:val="000000"/>
                <w:sz w:val="20"/>
                <w:szCs w:val="20"/>
                <w:u w:val="none"/>
              </w:rPr>
            </w:pP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left"/>
              <w:rPr>
                <w:rFonts w:ascii="宋体" w:eastAsia="宋体" w:cs="宋体" w:hint="eastAsia"/>
                <w:i w:val="0"/>
                <w:color w:val="000000"/>
                <w:sz w:val="20"/>
                <w:szCs w:val="20"/>
                <w:u w:val="none"/>
              </w:rPr>
            </w:pP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left"/>
              <w:rPr>
                <w:rFonts w:ascii="宋体" w:eastAsia="宋体" w:cs="宋体" w:hint="eastAsia"/>
                <w:i w:val="0"/>
                <w:color w:val="000000"/>
                <w:sz w:val="20"/>
                <w:szCs w:val="20"/>
                <w:u w:val="none"/>
              </w:rPr>
            </w:pP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r>
      <w:tr>
        <w:trPr>
          <w:trHeight w:val="375"/>
        </w:trPr>
        <w:tc>
          <w:tcPr>
            <w:tcW w:w="43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收    入    总    计</w:t>
            </w:r>
          </w:p>
        </w:tc>
        <w:tc>
          <w:tcPr>
            <w:tcW w:w="43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2062.86</w:t>
            </w:r>
          </w:p>
        </w:tc>
        <w:tc>
          <w:tcPr>
            <w:tcW w:w="412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支    出    总    计</w:t>
            </w:r>
          </w:p>
        </w:tc>
        <w:tc>
          <w:tcPr>
            <w:tcW w:w="306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2062.86</w:t>
            </w:r>
          </w:p>
        </w:tc>
      </w:tr>
    </w:tbl>
    <w:p>
      <w:pPr>
        <w:rPr>
          <w:rFonts w:ascii="Times New Roman" w:hAnsi="Times New Roman"/>
          <w:highlight w:val="auto"/>
        </w:rPr>
      </w:pPr>
      <w:r>
        <w:rPr>
          <w:rFonts w:ascii="Times New Roman" w:hAnsi="Times New Roman" w:hint="eastAsia"/>
          <w:sz w:val="20"/>
          <w:szCs w:val="20"/>
          <w:highlight w:val="auto"/>
        </w:rPr>
        <w:br w:type="page"/>
      </w:r>
    </w:p>
    <w:tbl>
      <w:tblPr>
        <w:tblpPr w:leftFromText="180" w:rightFromText="180" w:vertAnchor="text" w:horzAnchor="page" w:tblpX="1470" w:tblpY="1375"/>
        <w:tblOverlap w:val="never"/>
        <w:tblW w:w="1428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938"/>
        <w:gridCol w:w="787"/>
        <w:gridCol w:w="917"/>
        <w:gridCol w:w="729"/>
        <w:gridCol w:w="700"/>
        <w:gridCol w:w="714"/>
        <w:gridCol w:w="671"/>
        <w:gridCol w:w="912"/>
        <w:gridCol w:w="871"/>
        <w:gridCol w:w="857"/>
        <w:gridCol w:w="671"/>
        <w:gridCol w:w="700"/>
        <w:gridCol w:w="587"/>
        <w:gridCol w:w="654"/>
        <w:gridCol w:w="601"/>
        <w:gridCol w:w="573"/>
        <w:gridCol w:w="938"/>
        <w:gridCol w:w="715"/>
        <w:gridCol w:w="745"/>
      </w:tblGrid>
      <w:tr>
        <w:trPr>
          <w:trHeight w:val="330"/>
        </w:trPr>
        <w:tc>
          <w:tcPr>
            <w:tcW w:w="938" w:type="dxa"/>
            <w:shd w:val="clear" w:color="auto" w:fill="auto"/>
            <w:vAlign w:val="center"/>
          </w:tcPr>
          <w:p>
            <w:pPr>
              <w:rPr>
                <w:rFonts w:ascii="宋体" w:eastAsia="宋体" w:cs="宋体" w:hint="eastAsia"/>
                <w:i w:val="0"/>
                <w:color w:val="000000"/>
                <w:sz w:val="22"/>
                <w:szCs w:val="22"/>
                <w:u w:val="none"/>
              </w:rPr>
            </w:pPr>
          </w:p>
        </w:tc>
        <w:tc>
          <w:tcPr>
            <w:tcW w:w="787" w:type="dxa"/>
            <w:shd w:val="clear" w:color="auto" w:fill="auto"/>
            <w:vAlign w:val="center"/>
          </w:tcPr>
          <w:p>
            <w:pPr>
              <w:rPr>
                <w:rFonts w:ascii="宋体" w:eastAsia="宋体" w:cs="宋体" w:hint="eastAsia"/>
                <w:i w:val="0"/>
                <w:color w:val="000000"/>
                <w:sz w:val="22"/>
                <w:szCs w:val="22"/>
                <w:u w:val="none"/>
              </w:rPr>
            </w:pPr>
          </w:p>
        </w:tc>
        <w:tc>
          <w:tcPr>
            <w:tcW w:w="917" w:type="dxa"/>
            <w:shd w:val="clear" w:color="auto" w:fill="auto"/>
            <w:vAlign w:val="center"/>
          </w:tcPr>
          <w:p>
            <w:pPr>
              <w:jc w:val="left"/>
              <w:rPr>
                <w:rFonts w:ascii="宋体" w:eastAsia="宋体" w:cs="宋体" w:hint="eastAsia"/>
                <w:i w:val="0"/>
                <w:color w:val="000000"/>
                <w:sz w:val="20"/>
                <w:szCs w:val="20"/>
                <w:u w:val="none"/>
              </w:rPr>
            </w:pPr>
          </w:p>
        </w:tc>
        <w:tc>
          <w:tcPr>
            <w:tcW w:w="729" w:type="dxa"/>
            <w:shd w:val="clear" w:color="auto" w:fill="auto"/>
            <w:vAlign w:val="center"/>
          </w:tcPr>
          <w:p>
            <w:pPr>
              <w:rPr>
                <w:rFonts w:ascii="宋体" w:eastAsia="宋体" w:cs="宋体" w:hint="eastAsia"/>
                <w:i w:val="0"/>
                <w:color w:val="000000"/>
                <w:sz w:val="22"/>
                <w:szCs w:val="22"/>
                <w:u w:val="none"/>
              </w:rPr>
            </w:pPr>
          </w:p>
        </w:tc>
        <w:tc>
          <w:tcPr>
            <w:tcW w:w="700" w:type="dxa"/>
            <w:shd w:val="clear" w:color="auto" w:fill="auto"/>
            <w:vAlign w:val="center"/>
          </w:tcPr>
          <w:p>
            <w:pPr>
              <w:rPr>
                <w:rFonts w:ascii="宋体" w:eastAsia="宋体" w:cs="宋体" w:hint="eastAsia"/>
                <w:i w:val="0"/>
                <w:color w:val="000000"/>
                <w:sz w:val="22"/>
                <w:szCs w:val="22"/>
                <w:u w:val="none"/>
              </w:rPr>
            </w:pPr>
          </w:p>
        </w:tc>
        <w:tc>
          <w:tcPr>
            <w:tcW w:w="714" w:type="dxa"/>
            <w:shd w:val="clear" w:color="auto" w:fill="auto"/>
            <w:vAlign w:val="center"/>
          </w:tcPr>
          <w:p>
            <w:pPr>
              <w:rPr>
                <w:rFonts w:ascii="宋体" w:eastAsia="宋体" w:cs="宋体" w:hint="eastAsia"/>
                <w:i w:val="0"/>
                <w:color w:val="000000"/>
                <w:sz w:val="22"/>
                <w:szCs w:val="22"/>
                <w:u w:val="none"/>
              </w:rPr>
            </w:pPr>
          </w:p>
        </w:tc>
        <w:tc>
          <w:tcPr>
            <w:tcW w:w="671" w:type="dxa"/>
            <w:shd w:val="clear" w:color="auto" w:fill="auto"/>
            <w:vAlign w:val="center"/>
          </w:tcPr>
          <w:p>
            <w:pPr>
              <w:rPr>
                <w:rFonts w:ascii="宋体" w:eastAsia="宋体" w:cs="宋体" w:hint="eastAsia"/>
                <w:i w:val="0"/>
                <w:color w:val="000000"/>
                <w:sz w:val="22"/>
                <w:szCs w:val="22"/>
                <w:u w:val="none"/>
              </w:rPr>
            </w:pPr>
          </w:p>
        </w:tc>
        <w:tc>
          <w:tcPr>
            <w:tcW w:w="912" w:type="dxa"/>
            <w:shd w:val="clear" w:color="auto" w:fill="auto"/>
            <w:vAlign w:val="center"/>
          </w:tcPr>
          <w:p>
            <w:pPr>
              <w:rPr>
                <w:rFonts w:ascii="宋体" w:eastAsia="宋体" w:cs="宋体" w:hint="eastAsia"/>
                <w:i w:val="0"/>
                <w:color w:val="000000"/>
                <w:sz w:val="22"/>
                <w:szCs w:val="22"/>
                <w:u w:val="none"/>
              </w:rPr>
            </w:pPr>
          </w:p>
        </w:tc>
        <w:tc>
          <w:tcPr>
            <w:tcW w:w="871" w:type="dxa"/>
            <w:shd w:val="clear" w:color="auto" w:fill="auto"/>
            <w:vAlign w:val="center"/>
          </w:tcPr>
          <w:p>
            <w:pPr>
              <w:rPr>
                <w:rFonts w:ascii="宋体" w:eastAsia="宋体" w:cs="宋体" w:hint="eastAsia"/>
                <w:i w:val="0"/>
                <w:color w:val="000000"/>
                <w:sz w:val="22"/>
                <w:szCs w:val="22"/>
                <w:u w:val="none"/>
              </w:rPr>
            </w:pPr>
          </w:p>
        </w:tc>
        <w:tc>
          <w:tcPr>
            <w:tcW w:w="857" w:type="dxa"/>
            <w:shd w:val="clear" w:color="auto" w:fill="auto"/>
            <w:vAlign w:val="center"/>
          </w:tcPr>
          <w:p>
            <w:pPr>
              <w:rPr>
                <w:rFonts w:ascii="宋体" w:eastAsia="宋体" w:cs="宋体" w:hint="eastAsia"/>
                <w:i w:val="0"/>
                <w:color w:val="000000"/>
                <w:sz w:val="22"/>
                <w:szCs w:val="22"/>
                <w:u w:val="none"/>
              </w:rPr>
            </w:pPr>
          </w:p>
        </w:tc>
        <w:tc>
          <w:tcPr>
            <w:tcW w:w="671" w:type="dxa"/>
            <w:shd w:val="clear" w:color="auto" w:fill="auto"/>
            <w:vAlign w:val="center"/>
          </w:tcPr>
          <w:p>
            <w:pPr>
              <w:rPr>
                <w:rFonts w:ascii="宋体" w:eastAsia="宋体" w:cs="宋体" w:hint="eastAsia"/>
                <w:i w:val="0"/>
                <w:color w:val="000000"/>
                <w:sz w:val="22"/>
                <w:szCs w:val="22"/>
                <w:u w:val="none"/>
              </w:rPr>
            </w:pPr>
          </w:p>
        </w:tc>
        <w:tc>
          <w:tcPr>
            <w:tcW w:w="700" w:type="dxa"/>
            <w:shd w:val="clear" w:color="auto" w:fill="auto"/>
            <w:vAlign w:val="center"/>
          </w:tcPr>
          <w:p>
            <w:pPr>
              <w:rPr>
                <w:rFonts w:ascii="宋体" w:eastAsia="宋体" w:cs="宋体" w:hint="eastAsia"/>
                <w:i w:val="0"/>
                <w:color w:val="000000"/>
                <w:sz w:val="22"/>
                <w:szCs w:val="22"/>
                <w:u w:val="none"/>
              </w:rPr>
            </w:pPr>
          </w:p>
        </w:tc>
        <w:tc>
          <w:tcPr>
            <w:tcW w:w="587" w:type="dxa"/>
            <w:shd w:val="clear" w:color="auto" w:fill="auto"/>
            <w:vAlign w:val="center"/>
          </w:tcPr>
          <w:p>
            <w:pPr>
              <w:rPr>
                <w:rFonts w:ascii="宋体" w:eastAsia="宋体" w:cs="宋体" w:hint="eastAsia"/>
                <w:i w:val="0"/>
                <w:color w:val="000000"/>
                <w:sz w:val="22"/>
                <w:szCs w:val="22"/>
                <w:u w:val="none"/>
              </w:rPr>
            </w:pPr>
          </w:p>
        </w:tc>
        <w:tc>
          <w:tcPr>
            <w:tcW w:w="654" w:type="dxa"/>
            <w:shd w:val="clear" w:color="auto" w:fill="auto"/>
            <w:vAlign w:val="center"/>
          </w:tcPr>
          <w:p>
            <w:pPr>
              <w:rPr>
                <w:rFonts w:ascii="宋体" w:eastAsia="宋体" w:cs="宋体" w:hint="eastAsia"/>
                <w:i w:val="0"/>
                <w:color w:val="000000"/>
                <w:sz w:val="22"/>
                <w:szCs w:val="22"/>
                <w:u w:val="none"/>
              </w:rPr>
            </w:pPr>
          </w:p>
        </w:tc>
        <w:tc>
          <w:tcPr>
            <w:tcW w:w="601" w:type="dxa"/>
            <w:shd w:val="clear" w:color="auto" w:fill="auto"/>
            <w:vAlign w:val="center"/>
          </w:tcPr>
          <w:p>
            <w:pPr>
              <w:rPr>
                <w:rFonts w:ascii="宋体" w:eastAsia="宋体" w:cs="宋体" w:hint="eastAsia"/>
                <w:i w:val="0"/>
                <w:color w:val="000000"/>
                <w:sz w:val="22"/>
                <w:szCs w:val="22"/>
                <w:u w:val="none"/>
              </w:rPr>
            </w:pPr>
          </w:p>
        </w:tc>
        <w:tc>
          <w:tcPr>
            <w:tcW w:w="573" w:type="dxa"/>
            <w:shd w:val="clear" w:color="auto" w:fill="auto"/>
            <w:vAlign w:val="center"/>
          </w:tcPr>
          <w:p>
            <w:pPr>
              <w:rPr>
                <w:rFonts w:ascii="宋体" w:eastAsia="宋体" w:cs="宋体" w:hint="eastAsia"/>
                <w:i w:val="0"/>
                <w:color w:val="000000"/>
                <w:sz w:val="22"/>
                <w:szCs w:val="22"/>
                <w:u w:val="none"/>
              </w:rPr>
            </w:pPr>
          </w:p>
        </w:tc>
        <w:tc>
          <w:tcPr>
            <w:tcW w:w="938" w:type="dxa"/>
            <w:shd w:val="clear" w:color="auto" w:fill="auto"/>
            <w:vAlign w:val="center"/>
          </w:tcPr>
          <w:p>
            <w:pPr>
              <w:rPr>
                <w:rFonts w:ascii="宋体" w:eastAsia="宋体" w:cs="宋体" w:hint="eastAsia"/>
                <w:i w:val="0"/>
                <w:color w:val="000000"/>
                <w:sz w:val="22"/>
                <w:szCs w:val="22"/>
                <w:u w:val="none"/>
              </w:rPr>
            </w:pPr>
          </w:p>
        </w:tc>
        <w:tc>
          <w:tcPr>
            <w:tcW w:w="1460" w:type="dxa"/>
            <w:gridSpan w:val="2"/>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部门公开表2</w:t>
            </w:r>
          </w:p>
        </w:tc>
      </w:tr>
      <w:tr>
        <w:trPr>
          <w:trHeight w:val="705"/>
        </w:trPr>
        <w:tc>
          <w:tcPr>
            <w:tcW w:w="938" w:type="dxa"/>
            <w:shd w:val="clear" w:color="auto" w:fill="auto"/>
            <w:vAlign w:val="center"/>
          </w:tcPr>
          <w:p>
            <w:pPr>
              <w:jc w:val="center"/>
              <w:rPr>
                <w:rFonts w:ascii="宋体" w:eastAsia="宋体" w:cs="宋体" w:hint="eastAsia"/>
                <w:b/>
                <w:i w:val="0"/>
                <w:color w:val="000000"/>
                <w:sz w:val="48"/>
                <w:szCs w:val="48"/>
                <w:u w:val="none"/>
              </w:rPr>
            </w:pPr>
          </w:p>
        </w:tc>
        <w:tc>
          <w:tcPr>
            <w:tcW w:w="12597" w:type="dxa"/>
            <w:gridSpan w:val="17"/>
            <w:shd w:val="clear" w:color="auto" w:fill="auto"/>
            <w:vAlign w:val="center"/>
          </w:tcPr>
          <w:p>
            <w:pPr>
              <w:keepNext w:val="0"/>
              <w:keepLines w:val="0"/>
              <w:widowControl/>
              <w:suppressLineNumbers w:val="0"/>
              <w:jc w:val="center"/>
              <w:textAlignment w:val="center"/>
              <w:rPr>
                <w:rFonts w:ascii="宋体" w:eastAsia="宋体" w:cs="宋体" w:hint="eastAsia"/>
                <w:b/>
                <w:i w:val="0"/>
                <w:color w:val="000000"/>
                <w:sz w:val="48"/>
                <w:szCs w:val="48"/>
                <w:u w:val="none"/>
              </w:rPr>
            </w:pPr>
            <w:r>
              <w:rPr>
                <w:rFonts w:ascii="宋体" w:eastAsia="宋体" w:cs="宋体" w:hint="eastAsia"/>
                <w:b/>
                <w:i w:val="0"/>
                <w:color w:val="000000"/>
                <w:kern w:val="0"/>
                <w:sz w:val="48"/>
                <w:szCs w:val="48"/>
                <w:u w:val="none"/>
                <w:lang w:val="en-US" w:eastAsia="zh-CN"/>
              </w:rPr>
              <w:t>部门收入总表</w:t>
            </w:r>
          </w:p>
        </w:tc>
        <w:tc>
          <w:tcPr>
            <w:tcW w:w="745" w:type="dxa"/>
            <w:shd w:val="clear" w:color="auto" w:fill="auto"/>
            <w:vAlign w:val="center"/>
          </w:tcPr>
          <w:p>
            <w:pPr>
              <w:rPr>
                <w:rFonts w:ascii="宋体" w:eastAsia="宋体" w:cs="宋体" w:hint="eastAsia"/>
                <w:i w:val="0"/>
                <w:color w:val="000000"/>
                <w:sz w:val="22"/>
                <w:szCs w:val="22"/>
                <w:u w:val="none"/>
              </w:rPr>
            </w:pPr>
          </w:p>
        </w:tc>
      </w:tr>
      <w:tr>
        <w:trPr>
          <w:trHeight w:val="286"/>
        </w:trPr>
        <w:tc>
          <w:tcPr>
            <w:tcW w:w="12820" w:type="dxa"/>
            <w:gridSpan w:val="17"/>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单位：中华人民共和国海拉尔海关</w:t>
            </w:r>
          </w:p>
        </w:tc>
        <w:tc>
          <w:tcPr>
            <w:tcW w:w="1460" w:type="dxa"/>
            <w:gridSpan w:val="2"/>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单位：万元</w:t>
            </w:r>
          </w:p>
        </w:tc>
      </w:tr>
      <w:tr>
        <w:trPr>
          <w:trHeight w:val="360"/>
        </w:trPr>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单位名称</w:t>
            </w:r>
          </w:p>
        </w:tc>
        <w:tc>
          <w:tcPr>
            <w:tcW w:w="7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合计</w:t>
            </w:r>
          </w:p>
        </w:tc>
        <w:tc>
          <w:tcPr>
            <w:tcW w:w="46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上年结转</w:t>
            </w:r>
          </w:p>
        </w:tc>
        <w:tc>
          <w:tcPr>
            <w:tcW w:w="7167"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本年收入</w:t>
            </w:r>
          </w:p>
        </w:tc>
        <w:tc>
          <w:tcPr>
            <w:tcW w:w="7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使用非财政拨款结余</w:t>
            </w:r>
          </w:p>
        </w:tc>
      </w:tr>
      <w:tr>
        <w:trPr>
          <w:trHeight w:val="360"/>
        </w:trPr>
        <w:tc>
          <w:tcPr>
            <w:tcW w:w="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小计</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一般公共预算结转资金</w:t>
            </w:r>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政府性基金预算结转资金</w:t>
            </w:r>
          </w:p>
        </w:tc>
        <w:tc>
          <w:tcPr>
            <w:tcW w:w="7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国有资本经营预算结转资金</w:t>
            </w:r>
          </w:p>
        </w:tc>
        <w:tc>
          <w:tcPr>
            <w:tcW w:w="6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财政专户管理资金</w:t>
            </w:r>
          </w:p>
        </w:tc>
        <w:tc>
          <w:tcPr>
            <w:tcW w:w="9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其他资金</w:t>
            </w:r>
          </w:p>
        </w:tc>
        <w:tc>
          <w:tcPr>
            <w:tcW w:w="8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小计</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一般公共预算拨款</w:t>
            </w:r>
          </w:p>
        </w:tc>
        <w:tc>
          <w:tcPr>
            <w:tcW w:w="6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政府性基金预算拨款</w:t>
            </w:r>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国有资本经营预算拨款</w:t>
            </w: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事业收入</w:t>
            </w:r>
          </w:p>
        </w:tc>
        <w:tc>
          <w:tcPr>
            <w:tcW w:w="6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事业单位经营收入</w:t>
            </w:r>
          </w:p>
        </w:tc>
        <w:tc>
          <w:tcPr>
            <w:tcW w:w="5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上级补助</w:t>
              <w:br/>
              <w:t>收入</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附属单位</w:t>
              <w:br/>
              <w:t>上缴收入</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其他收入</w:t>
            </w:r>
          </w:p>
        </w:tc>
        <w:tc>
          <w:tcPr>
            <w:tcW w:w="7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840"/>
        </w:trPr>
        <w:tc>
          <w:tcPr>
            <w:tcW w:w="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金额</w:t>
            </w:r>
          </w:p>
        </w:tc>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其中：财政专户管理资金</w:t>
            </w:r>
          </w:p>
        </w:tc>
        <w:tc>
          <w:tcPr>
            <w:tcW w:w="6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675"/>
        </w:trPr>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中华人民共和国海拉尔海关</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2062.86</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106.07</w:t>
            </w:r>
          </w:p>
        </w:tc>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39.13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66.94</w:t>
            </w: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1956.79</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1766.29</w:t>
            </w:r>
          </w:p>
        </w:tc>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190.50</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r>
      <w:tr>
        <w:trPr>
          <w:trHeight w:val="675"/>
        </w:trPr>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合计</w:t>
            </w:r>
          </w:p>
        </w:tc>
        <w:tc>
          <w:tcPr>
            <w:tcW w:w="78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2062.86</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106.07</w:t>
            </w:r>
          </w:p>
        </w:tc>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39.13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66.94</w:t>
            </w: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1956.79</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1766.29</w:t>
            </w:r>
          </w:p>
        </w:tc>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60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190.50</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r>
    </w:tbl>
    <w:p>
      <w:pPr>
        <w:pStyle w:val="2289"/>
        <w:rPr>
          <w:rFonts w:ascii="Times New Roman" w:eastAsia="宋体" w:hAnsi="Times New Roman"/>
          <w:highlight w:val="auto"/>
        </w:rPr>
        <w:sectPr>
          <w:pgSz w:w="16840" w:h="11907"/>
          <w:pgMar w:top="907" w:right="720" w:bottom="680" w:left="720" w:header="0" w:footer="0" w:gutter="0"/>
          <w:docGrid w:linePitch="285" w:charSpace="0"/>
        </w:sectPr>
      </w:pPr>
    </w:p>
    <w:tbl>
      <w:tblPr>
        <w:jc w:val="left"/>
        <w:tblInd w:w="-548" w:type="dxa"/>
        <w:tblW w:w="9807"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275"/>
        <w:gridCol w:w="3019"/>
        <w:gridCol w:w="1013"/>
        <w:gridCol w:w="1012"/>
        <w:gridCol w:w="750"/>
        <w:gridCol w:w="731"/>
        <w:gridCol w:w="825"/>
        <w:gridCol w:w="1182"/>
      </w:tblGrid>
      <w:tr>
        <w:trPr>
          <w:trHeight w:val="316"/>
        </w:trPr>
        <w:tc>
          <w:tcPr>
            <w:tcW w:w="1275" w:type="dxa"/>
            <w:shd w:val="clear" w:color="auto" w:fill="auto"/>
            <w:vAlign w:val="center"/>
          </w:tcPr>
          <w:p>
            <w:pPr>
              <w:rPr>
                <w:rFonts w:ascii="宋体" w:eastAsia="宋体" w:cs="宋体" w:hint="eastAsia"/>
                <w:i w:val="0"/>
                <w:color w:val="000000"/>
                <w:sz w:val="22"/>
                <w:szCs w:val="22"/>
                <w:u w:val="none"/>
              </w:rPr>
            </w:pPr>
          </w:p>
        </w:tc>
        <w:tc>
          <w:tcPr>
            <w:tcW w:w="3019" w:type="dxa"/>
            <w:shd w:val="clear" w:color="auto" w:fill="auto"/>
            <w:vAlign w:val="center"/>
          </w:tcPr>
          <w:p>
            <w:pPr>
              <w:rPr>
                <w:rFonts w:ascii="宋体" w:eastAsia="宋体" w:cs="宋体" w:hint="eastAsia"/>
                <w:i w:val="0"/>
                <w:color w:val="000000"/>
                <w:sz w:val="22"/>
                <w:szCs w:val="22"/>
                <w:u w:val="none"/>
              </w:rPr>
            </w:pPr>
          </w:p>
        </w:tc>
        <w:tc>
          <w:tcPr>
            <w:tcW w:w="1013" w:type="dxa"/>
            <w:shd w:val="clear" w:color="auto" w:fill="auto"/>
            <w:vAlign w:val="center"/>
          </w:tcPr>
          <w:p>
            <w:pPr>
              <w:rPr>
                <w:rFonts w:ascii="宋体" w:eastAsia="宋体" w:cs="宋体" w:hint="eastAsia"/>
                <w:i w:val="0"/>
                <w:color w:val="000000"/>
                <w:sz w:val="22"/>
                <w:szCs w:val="22"/>
                <w:u w:val="none"/>
              </w:rPr>
            </w:pPr>
          </w:p>
        </w:tc>
        <w:tc>
          <w:tcPr>
            <w:tcW w:w="1012" w:type="dxa"/>
            <w:shd w:val="clear" w:color="auto" w:fill="auto"/>
            <w:vAlign w:val="center"/>
          </w:tcPr>
          <w:p>
            <w:pPr>
              <w:rPr>
                <w:rFonts w:ascii="宋体" w:eastAsia="宋体" w:cs="宋体" w:hint="eastAsia"/>
                <w:i w:val="0"/>
                <w:color w:val="000000"/>
                <w:sz w:val="22"/>
                <w:szCs w:val="22"/>
                <w:u w:val="none"/>
              </w:rPr>
            </w:pPr>
          </w:p>
        </w:tc>
        <w:tc>
          <w:tcPr>
            <w:tcW w:w="750" w:type="dxa"/>
            <w:shd w:val="clear" w:color="auto" w:fill="auto"/>
            <w:vAlign w:val="center"/>
          </w:tcPr>
          <w:p>
            <w:pPr>
              <w:rPr>
                <w:rFonts w:ascii="宋体" w:eastAsia="宋体" w:cs="宋体" w:hint="eastAsia"/>
                <w:i w:val="0"/>
                <w:color w:val="000000"/>
                <w:sz w:val="22"/>
                <w:szCs w:val="22"/>
                <w:u w:val="none"/>
              </w:rPr>
            </w:pPr>
          </w:p>
        </w:tc>
        <w:tc>
          <w:tcPr>
            <w:tcW w:w="731" w:type="dxa"/>
            <w:shd w:val="clear" w:color="auto" w:fill="auto"/>
            <w:vAlign w:val="center"/>
          </w:tcPr>
          <w:p>
            <w:pPr>
              <w:rPr>
                <w:rFonts w:ascii="宋体" w:eastAsia="宋体" w:cs="宋体" w:hint="eastAsia"/>
                <w:i w:val="0"/>
                <w:color w:val="000000"/>
                <w:sz w:val="22"/>
                <w:szCs w:val="22"/>
                <w:u w:val="none"/>
              </w:rPr>
            </w:pPr>
          </w:p>
        </w:tc>
        <w:tc>
          <w:tcPr>
            <w:tcW w:w="825" w:type="dxa"/>
            <w:shd w:val="clear" w:color="auto" w:fill="auto"/>
            <w:vAlign w:val="center"/>
          </w:tcPr>
          <w:p>
            <w:pPr>
              <w:rPr>
                <w:rFonts w:ascii="宋体" w:eastAsia="宋体" w:cs="宋体" w:hint="eastAsia"/>
                <w:i w:val="0"/>
                <w:color w:val="000000"/>
                <w:sz w:val="22"/>
                <w:szCs w:val="22"/>
                <w:u w:val="none"/>
              </w:rPr>
            </w:pPr>
          </w:p>
        </w:tc>
        <w:tc>
          <w:tcPr>
            <w:tcW w:w="1182" w:type="dxa"/>
            <w:shd w:val="clear" w:color="auto" w:fill="auto"/>
            <w:vAlign w:val="center"/>
          </w:tcPr>
          <w:p>
            <w:pPr>
              <w:keepNext w:val="0"/>
              <w:keepLines w:val="0"/>
              <w:widowControl/>
              <w:suppressLineNumbers w:val="0"/>
              <w:jc w:val="right"/>
              <w:textAlignment w:val="center"/>
              <w:rPr>
                <w:rFonts w:ascii="宋体" w:eastAsia="宋体" w:cs="宋体" w:hint="eastAsia"/>
                <w:i w:val="0"/>
                <w:color w:val="000000"/>
                <w:kern w:val="0"/>
                <w:sz w:val="20"/>
                <w:szCs w:val="20"/>
                <w:u w:val="none"/>
                <w:lang w:val="en-US" w:eastAsia="zh-CN"/>
              </w:rPr>
            </w:pPr>
          </w:p>
        </w:tc>
      </w:tr>
      <w:tr>
        <w:trPr>
          <w:trHeight w:val="316"/>
        </w:trPr>
        <w:tc>
          <w:tcPr>
            <w:tcW w:w="1275" w:type="dxa"/>
            <w:shd w:val="clear" w:color="auto" w:fill="auto"/>
            <w:vAlign w:val="center"/>
          </w:tcPr>
          <w:p>
            <w:pPr>
              <w:rPr>
                <w:rFonts w:ascii="宋体" w:eastAsia="宋体" w:cs="宋体" w:hint="eastAsia"/>
                <w:i w:val="0"/>
                <w:color w:val="000000"/>
                <w:sz w:val="22"/>
                <w:szCs w:val="22"/>
                <w:u w:val="none"/>
              </w:rPr>
            </w:pPr>
          </w:p>
        </w:tc>
        <w:tc>
          <w:tcPr>
            <w:tcW w:w="3019" w:type="dxa"/>
            <w:shd w:val="clear" w:color="auto" w:fill="auto"/>
            <w:vAlign w:val="center"/>
          </w:tcPr>
          <w:p>
            <w:pPr>
              <w:rPr>
                <w:rFonts w:ascii="宋体" w:eastAsia="宋体" w:cs="宋体" w:hint="eastAsia"/>
                <w:i w:val="0"/>
                <w:color w:val="000000"/>
                <w:sz w:val="22"/>
                <w:szCs w:val="22"/>
                <w:u w:val="none"/>
              </w:rPr>
            </w:pPr>
          </w:p>
        </w:tc>
        <w:tc>
          <w:tcPr>
            <w:tcW w:w="1013" w:type="dxa"/>
            <w:shd w:val="clear" w:color="auto" w:fill="auto"/>
            <w:vAlign w:val="center"/>
          </w:tcPr>
          <w:p>
            <w:pPr>
              <w:rPr>
                <w:rFonts w:ascii="宋体" w:eastAsia="宋体" w:cs="宋体" w:hint="eastAsia"/>
                <w:i w:val="0"/>
                <w:color w:val="000000"/>
                <w:sz w:val="22"/>
                <w:szCs w:val="22"/>
                <w:u w:val="none"/>
              </w:rPr>
            </w:pPr>
          </w:p>
        </w:tc>
        <w:tc>
          <w:tcPr>
            <w:tcW w:w="1012" w:type="dxa"/>
            <w:shd w:val="clear" w:color="auto" w:fill="auto"/>
            <w:vAlign w:val="center"/>
          </w:tcPr>
          <w:p>
            <w:pPr>
              <w:rPr>
                <w:rFonts w:ascii="宋体" w:eastAsia="宋体" w:cs="宋体" w:hint="eastAsia"/>
                <w:i w:val="0"/>
                <w:color w:val="000000"/>
                <w:sz w:val="22"/>
                <w:szCs w:val="22"/>
                <w:u w:val="none"/>
              </w:rPr>
            </w:pPr>
          </w:p>
        </w:tc>
        <w:tc>
          <w:tcPr>
            <w:tcW w:w="750" w:type="dxa"/>
            <w:shd w:val="clear" w:color="auto" w:fill="auto"/>
            <w:vAlign w:val="center"/>
          </w:tcPr>
          <w:p>
            <w:pPr>
              <w:rPr>
                <w:rFonts w:ascii="宋体" w:eastAsia="宋体" w:cs="宋体" w:hint="eastAsia"/>
                <w:i w:val="0"/>
                <w:color w:val="000000"/>
                <w:sz w:val="22"/>
                <w:szCs w:val="22"/>
                <w:u w:val="none"/>
              </w:rPr>
            </w:pPr>
          </w:p>
        </w:tc>
        <w:tc>
          <w:tcPr>
            <w:tcW w:w="731" w:type="dxa"/>
            <w:shd w:val="clear" w:color="auto" w:fill="auto"/>
            <w:vAlign w:val="center"/>
          </w:tcPr>
          <w:p>
            <w:pPr>
              <w:rPr>
                <w:rFonts w:ascii="宋体" w:eastAsia="宋体" w:cs="宋体" w:hint="eastAsia"/>
                <w:i w:val="0"/>
                <w:color w:val="000000"/>
                <w:sz w:val="22"/>
                <w:szCs w:val="22"/>
                <w:u w:val="none"/>
              </w:rPr>
            </w:pPr>
          </w:p>
        </w:tc>
        <w:tc>
          <w:tcPr>
            <w:tcW w:w="825" w:type="dxa"/>
            <w:shd w:val="clear" w:color="auto" w:fill="auto"/>
            <w:vAlign w:val="center"/>
          </w:tcPr>
          <w:p>
            <w:pPr>
              <w:rPr>
                <w:rFonts w:ascii="宋体" w:eastAsia="宋体" w:cs="宋体" w:hint="eastAsia"/>
                <w:i w:val="0"/>
                <w:color w:val="000000"/>
                <w:sz w:val="22"/>
                <w:szCs w:val="22"/>
                <w:u w:val="none"/>
              </w:rPr>
            </w:pPr>
          </w:p>
        </w:tc>
        <w:tc>
          <w:tcPr>
            <w:tcW w:w="1182" w:type="dxa"/>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部门公开表3</w:t>
            </w:r>
          </w:p>
        </w:tc>
      </w:tr>
      <w:tr>
        <w:trPr>
          <w:trHeight w:val="615"/>
        </w:trPr>
        <w:tc>
          <w:tcPr>
            <w:tcW w:w="9807" w:type="dxa"/>
            <w:gridSpan w:val="8"/>
            <w:shd w:val="clear" w:color="auto" w:fill="auto"/>
            <w:vAlign w:val="center"/>
          </w:tcPr>
          <w:p>
            <w:pPr>
              <w:keepNext w:val="0"/>
              <w:keepLines w:val="0"/>
              <w:widowControl/>
              <w:suppressLineNumbers w:val="0"/>
              <w:jc w:val="center"/>
              <w:textAlignment w:val="center"/>
              <w:rPr>
                <w:rFonts w:ascii="宋体" w:eastAsia="宋体" w:cs="宋体" w:hint="eastAsia"/>
                <w:b/>
                <w:i w:val="0"/>
                <w:color w:val="000000"/>
                <w:sz w:val="48"/>
                <w:szCs w:val="48"/>
                <w:u w:val="none"/>
              </w:rPr>
            </w:pPr>
            <w:r>
              <w:rPr>
                <w:rFonts w:ascii="宋体" w:eastAsia="宋体" w:cs="宋体" w:hint="eastAsia"/>
                <w:b/>
                <w:i w:val="0"/>
                <w:color w:val="000000"/>
                <w:kern w:val="0"/>
                <w:sz w:val="48"/>
                <w:szCs w:val="48"/>
                <w:u w:val="none"/>
                <w:lang w:val="en-US" w:eastAsia="zh-CN"/>
              </w:rPr>
              <w:t>部门支出总表</w:t>
            </w:r>
          </w:p>
        </w:tc>
      </w:tr>
      <w:tr>
        <w:trPr>
          <w:trHeight w:val="871"/>
        </w:trPr>
        <w:tc>
          <w:tcPr>
            <w:tcW w:w="8625" w:type="dxa"/>
            <w:gridSpan w:val="7"/>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单位：中华人民共和国海拉尔海关</w:t>
            </w:r>
          </w:p>
        </w:tc>
        <w:tc>
          <w:tcPr>
            <w:tcW w:w="1182" w:type="dxa"/>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单位：万元</w:t>
            </w:r>
          </w:p>
        </w:tc>
      </w:tr>
      <w:tr>
        <w:trPr>
          <w:trHeight w:val="45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科目代码</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科目名称</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合计</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基本支出</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项目支出</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上缴上级支出</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事业单位经营支出</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对附属单位补助支出</w:t>
            </w:r>
          </w:p>
        </w:tc>
      </w:tr>
      <w:tr>
        <w:trPr>
          <w:trHeight w:val="388"/>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201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一般公共服务支出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1298.64</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1133.27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165.37</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7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20109</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海关事务</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1298.64</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1133.27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165.37</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56"/>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2010901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行政运行</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1133.27</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1133.27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7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2010902</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一般行政管理事务</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2.50</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2.50</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56"/>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2010905</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缉私办案</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eastAsia="zh-CN"/>
              </w:rPr>
            </w:pPr>
            <w:r>
              <w:rPr>
                <w:rFonts w:ascii="宋体" w:cs="宋体" w:hint="eastAsia"/>
                <w:i w:val="0"/>
                <w:color w:val="000000"/>
                <w:sz w:val="16"/>
                <w:szCs w:val="16"/>
                <w:u w:val="none"/>
                <w:lang w:val="en-US" w:eastAsia="zh-CN"/>
              </w:rPr>
              <w:t>0.19</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0.19</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1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2010909</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海关关务</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142.78</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142.78</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56"/>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2010911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海关监管</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eastAsia="宋体" w:cs="宋体" w:hint="eastAsia"/>
                <w:i w:val="0"/>
                <w:color w:val="000000"/>
                <w:kern w:val="0"/>
                <w:sz w:val="16"/>
                <w:szCs w:val="16"/>
                <w:u w:val="none"/>
                <w:lang w:val="en-US" w:eastAsia="zh-CN"/>
              </w:rPr>
              <w:t>7.9</w:t>
            </w:r>
            <w:r>
              <w:rPr>
                <w:rFonts w:ascii="宋体" w:cs="宋体" w:hint="eastAsia"/>
                <w:i w:val="0"/>
                <w:color w:val="000000"/>
                <w:kern w:val="0"/>
                <w:sz w:val="16"/>
                <w:szCs w:val="16"/>
                <w:u w:val="none"/>
                <w:lang w:val="en-US" w:eastAsia="zh-CN"/>
              </w:rPr>
              <w:t>0</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eastAsia="宋体" w:cs="宋体" w:hint="eastAsia"/>
                <w:i w:val="0"/>
                <w:color w:val="000000"/>
                <w:kern w:val="0"/>
                <w:sz w:val="16"/>
                <w:szCs w:val="16"/>
                <w:u w:val="none"/>
                <w:lang w:val="en-US" w:eastAsia="zh-CN"/>
              </w:rPr>
              <w:t>7.9</w:t>
            </w:r>
            <w:r>
              <w:rPr>
                <w:rFonts w:ascii="宋体" w:cs="宋体" w:hint="eastAsia"/>
                <w:i w:val="0"/>
                <w:color w:val="000000"/>
                <w:kern w:val="0"/>
                <w:sz w:val="16"/>
                <w:szCs w:val="16"/>
                <w:u w:val="none"/>
                <w:lang w:val="en-US" w:eastAsia="zh-CN"/>
              </w:rPr>
              <w:t>0</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2010912</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检验检疫</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12.00</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12.00</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204</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公共安全支出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361.72</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299.54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62.18</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20410</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缉私警察</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cs="宋体" w:hint="eastAsia"/>
                <w:i w:val="0"/>
                <w:color w:val="000000"/>
                <w:kern w:val="0"/>
                <w:sz w:val="16"/>
                <w:szCs w:val="16"/>
                <w:u w:val="none"/>
                <w:lang w:val="en-US" w:eastAsia="zh-CN"/>
              </w:rPr>
              <w:t>361.72</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299.54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62.18</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1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2041001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行政运行</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299.54</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299.54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196"/>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2041007</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缉私业务</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62.18</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62.18</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208</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社会保障和就业支出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158.54</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158.54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56"/>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20805</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行政事业单位养老支出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158.54</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158.54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344"/>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2080501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行政单位离退休</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29.90</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29.90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2080505</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机关事业单位基本养老保险缴费支出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eastAsia="宋体" w:cs="宋体" w:hint="eastAsia"/>
                <w:i w:val="0"/>
                <w:color w:val="000000"/>
                <w:kern w:val="0"/>
                <w:sz w:val="16"/>
                <w:szCs w:val="16"/>
                <w:u w:val="none"/>
                <w:lang w:val="en-US" w:eastAsia="zh-CN"/>
              </w:rPr>
              <w:t>85.6</w:t>
            </w:r>
            <w:r>
              <w:rPr>
                <w:rFonts w:ascii="宋体" w:cs="宋体" w:hint="eastAsia"/>
                <w:i w:val="0"/>
                <w:color w:val="000000"/>
                <w:kern w:val="0"/>
                <w:sz w:val="16"/>
                <w:szCs w:val="16"/>
                <w:u w:val="none"/>
                <w:lang w:val="en-US" w:eastAsia="zh-CN"/>
              </w:rPr>
              <w:t>0</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eastAsia="宋体" w:cs="宋体" w:hint="eastAsia"/>
                <w:i w:val="0"/>
                <w:color w:val="000000"/>
                <w:kern w:val="0"/>
                <w:sz w:val="16"/>
                <w:szCs w:val="16"/>
                <w:u w:val="none"/>
                <w:lang w:val="en-US" w:eastAsia="zh-CN"/>
              </w:rPr>
              <w:t>85.6</w:t>
            </w:r>
            <w:r>
              <w:rPr>
                <w:rFonts w:ascii="宋体" w:cs="宋体" w:hint="eastAsia"/>
                <w:i w:val="0"/>
                <w:color w:val="000000"/>
                <w:kern w:val="0"/>
                <w:sz w:val="16"/>
                <w:szCs w:val="16"/>
                <w:u w:val="none"/>
                <w:lang w:val="en-US" w:eastAsia="zh-CN"/>
              </w:rPr>
              <w:t>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2080506</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机关事业单位职业年金缴费支出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43.04</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43.04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210</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卫生健康支出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68.91</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68.91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1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21011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行政事业单位医疗</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68.91</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68.91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2101101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行政单位医疗</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45.32</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45.32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7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2101103</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公务员医疗补助</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22.57</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22.57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2101199</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其他行政事业单位医疗支出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eastAsia="宋体" w:cs="宋体" w:hint="eastAsia"/>
                <w:i w:val="0"/>
                <w:color w:val="000000"/>
                <w:kern w:val="0"/>
                <w:sz w:val="16"/>
                <w:szCs w:val="16"/>
                <w:u w:val="none"/>
                <w:lang w:val="en-US" w:eastAsia="zh-CN"/>
              </w:rPr>
              <w:t>1.0</w:t>
            </w:r>
            <w:r>
              <w:rPr>
                <w:rFonts w:ascii="宋体" w:cs="宋体" w:hint="eastAsia"/>
                <w:i w:val="0"/>
                <w:color w:val="000000"/>
                <w:kern w:val="0"/>
                <w:sz w:val="16"/>
                <w:szCs w:val="16"/>
                <w:u w:val="none"/>
                <w:lang w:val="en-US" w:eastAsia="zh-CN"/>
              </w:rPr>
              <w:t>2</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eastAsia="宋体" w:cs="宋体" w:hint="eastAsia"/>
                <w:i w:val="0"/>
                <w:color w:val="000000"/>
                <w:kern w:val="0"/>
                <w:sz w:val="16"/>
                <w:szCs w:val="16"/>
                <w:u w:val="none"/>
                <w:lang w:val="en-US" w:eastAsia="zh-CN"/>
              </w:rPr>
              <w:t>1.0</w:t>
            </w:r>
            <w:r>
              <w:rPr>
                <w:rFonts w:ascii="宋体" w:cs="宋体" w:hint="eastAsia"/>
                <w:i w:val="0"/>
                <w:color w:val="000000"/>
                <w:kern w:val="0"/>
                <w:sz w:val="16"/>
                <w:szCs w:val="16"/>
                <w:u w:val="none"/>
                <w:lang w:val="en-US" w:eastAsia="zh-CN"/>
              </w:rPr>
              <w:t>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56"/>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221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住房保障支出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lang w:val="en-US"/>
              </w:rPr>
            </w:pPr>
            <w:r>
              <w:rPr>
                <w:rFonts w:ascii="宋体" w:eastAsia="宋体" w:cs="宋体" w:hint="eastAsia"/>
                <w:i w:val="0"/>
                <w:color w:val="000000"/>
                <w:kern w:val="0"/>
                <w:sz w:val="16"/>
                <w:szCs w:val="16"/>
                <w:u w:val="none"/>
                <w:lang w:val="en-US" w:eastAsia="zh-CN"/>
              </w:rPr>
              <w:t>163.5</w:t>
            </w:r>
            <w:r>
              <w:rPr>
                <w:rFonts w:ascii="宋体" w:cs="宋体" w:hint="eastAsia"/>
                <w:i w:val="0"/>
                <w:color w:val="000000"/>
                <w:kern w:val="0"/>
                <w:sz w:val="16"/>
                <w:szCs w:val="16"/>
                <w:u w:val="none"/>
                <w:lang w:val="en-US" w:eastAsia="zh-CN"/>
              </w:rPr>
              <w:t>0</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163.5</w:t>
            </w:r>
            <w:r>
              <w:rPr>
                <w:rFonts w:ascii="宋体" w:cs="宋体" w:hint="eastAsia"/>
                <w:i w:val="0"/>
                <w:color w:val="000000"/>
                <w:kern w:val="0"/>
                <w:sz w:val="16"/>
                <w:szCs w:val="16"/>
                <w:u w:val="none"/>
                <w:lang w:val="en-US" w:eastAsia="zh-CN"/>
              </w:rPr>
              <w:t>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30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22102</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住房改革支出</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163.5</w:t>
            </w:r>
            <w:r>
              <w:rPr>
                <w:rFonts w:ascii="宋体" w:cs="宋体" w:hint="eastAsia"/>
                <w:i w:val="0"/>
                <w:color w:val="000000"/>
                <w:kern w:val="0"/>
                <w:sz w:val="16"/>
                <w:szCs w:val="16"/>
                <w:u w:val="none"/>
                <w:lang w:val="en-US" w:eastAsia="zh-CN"/>
              </w:rPr>
              <w:t>0</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163.5</w:t>
            </w:r>
            <w:r>
              <w:rPr>
                <w:rFonts w:ascii="宋体" w:cs="宋体" w:hint="eastAsia"/>
                <w:i w:val="0"/>
                <w:color w:val="000000"/>
                <w:kern w:val="0"/>
                <w:sz w:val="16"/>
                <w:szCs w:val="16"/>
                <w:u w:val="none"/>
                <w:lang w:val="en-US" w:eastAsia="zh-CN"/>
              </w:rPr>
              <w:t>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56"/>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2210201</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住房公积金</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98.01</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98.01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4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2210203</w:t>
            </w: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 xml:space="preserve">    购房补贴</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65.49</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6"/>
                <w:szCs w:val="16"/>
                <w:u w:val="none"/>
              </w:rPr>
            </w:pPr>
            <w:r>
              <w:rPr>
                <w:rFonts w:ascii="宋体" w:eastAsia="宋体" w:cs="宋体" w:hint="eastAsia"/>
                <w:i w:val="0"/>
                <w:color w:val="000000"/>
                <w:kern w:val="0"/>
                <w:sz w:val="16"/>
                <w:szCs w:val="16"/>
                <w:u w:val="none"/>
                <w:lang w:val="en-US" w:eastAsia="zh-CN"/>
              </w:rPr>
              <w:t>65.49</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6"/>
                <w:szCs w:val="16"/>
                <w:u w:val="none"/>
              </w:rPr>
            </w:pP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i w:val="0"/>
                <w:color w:val="000000"/>
                <w:sz w:val="16"/>
                <w:szCs w:val="16"/>
                <w:u w:val="none"/>
              </w:rPr>
            </w:pPr>
          </w:p>
        </w:tc>
      </w:tr>
      <w:tr>
        <w:trPr>
          <w:trHeight w:val="211"/>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b/>
                <w:i w:val="0"/>
                <w:color w:val="000000"/>
                <w:sz w:val="16"/>
                <w:szCs w:val="16"/>
                <w:u w:val="none"/>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i w:val="0"/>
                <w:color w:val="000000"/>
                <w:sz w:val="16"/>
                <w:szCs w:val="16"/>
                <w:u w:val="none"/>
              </w:rPr>
            </w:pPr>
            <w:r>
              <w:rPr>
                <w:rFonts w:ascii="宋体" w:eastAsia="宋体" w:cs="宋体" w:hint="eastAsia"/>
                <w:b/>
                <w:i w:val="0"/>
                <w:color w:val="000000"/>
                <w:kern w:val="0"/>
                <w:sz w:val="16"/>
                <w:szCs w:val="16"/>
                <w:u w:val="none"/>
                <w:lang w:val="en-US" w:eastAsia="zh-CN"/>
              </w:rPr>
              <w:t>合        计</w:t>
            </w: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i w:val="0"/>
                <w:color w:val="000000"/>
                <w:sz w:val="16"/>
                <w:szCs w:val="16"/>
                <w:u w:val="none"/>
                <w:lang w:val="en-US"/>
              </w:rPr>
            </w:pPr>
            <w:r>
              <w:rPr>
                <w:rFonts w:ascii="宋体" w:cs="宋体" w:hint="eastAsia"/>
                <w:b/>
                <w:i w:val="0"/>
                <w:color w:val="000000"/>
                <w:kern w:val="0"/>
                <w:sz w:val="16"/>
                <w:szCs w:val="16"/>
                <w:u w:val="none"/>
                <w:lang w:val="en-US" w:eastAsia="zh-CN"/>
              </w:rPr>
              <w:t>2051.31</w:t>
            </w:r>
          </w:p>
        </w:tc>
        <w:tc>
          <w:tcPr>
            <w:tcW w:w="101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i w:val="0"/>
                <w:color w:val="000000"/>
                <w:sz w:val="16"/>
                <w:szCs w:val="16"/>
                <w:u w:val="none"/>
              </w:rPr>
            </w:pPr>
            <w:r>
              <w:rPr>
                <w:rFonts w:ascii="宋体" w:eastAsia="宋体" w:cs="宋体" w:hint="eastAsia"/>
                <w:b/>
                <w:i w:val="0"/>
                <w:color w:val="000000"/>
                <w:kern w:val="0"/>
                <w:sz w:val="16"/>
                <w:szCs w:val="16"/>
                <w:u w:val="none"/>
                <w:lang w:val="en-US" w:eastAsia="zh-CN"/>
              </w:rPr>
              <w:t>1823.76</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b/>
                <w:i w:val="0"/>
                <w:color w:val="000000"/>
                <w:sz w:val="16"/>
                <w:szCs w:val="16"/>
                <w:u w:val="none"/>
              </w:rPr>
            </w:pPr>
            <w:r>
              <w:rPr>
                <w:rFonts w:ascii="宋体" w:eastAsia="宋体" w:cs="宋体" w:hint="eastAsia"/>
                <w:b/>
                <w:i w:val="0"/>
                <w:color w:val="000000"/>
                <w:kern w:val="0"/>
                <w:sz w:val="16"/>
                <w:szCs w:val="16"/>
                <w:u w:val="none"/>
                <w:lang w:val="en-US" w:eastAsia="zh-CN"/>
              </w:rPr>
              <w:t>227.55</w:t>
            </w:r>
          </w:p>
        </w:tc>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i w:val="0"/>
                <w:color w:val="000000"/>
                <w:sz w:val="16"/>
                <w:szCs w:val="16"/>
                <w:u w:val="none"/>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i w:val="0"/>
                <w:color w:val="000000"/>
                <w:sz w:val="16"/>
                <w:szCs w:val="16"/>
                <w:u w:val="none"/>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right"/>
              <w:rPr>
                <w:rFonts w:ascii="宋体" w:eastAsia="宋体" w:cs="宋体" w:hint="eastAsia"/>
                <w:b/>
                <w:i w:val="0"/>
                <w:color w:val="000000"/>
                <w:sz w:val="16"/>
                <w:szCs w:val="16"/>
                <w:u w:val="none"/>
              </w:rPr>
            </w:pPr>
          </w:p>
        </w:tc>
      </w:tr>
    </w:tbl>
    <w:p>
      <w:pPr>
        <w:jc w:val="left"/>
        <w:rPr>
          <w:rFonts w:ascii="Times New Roman" w:eastAsia="方正仿宋_GBK" w:hAnsi="Times New Roman"/>
          <w:sz w:val="32"/>
          <w:szCs w:val="32"/>
        </w:rPr>
      </w:pPr>
    </w:p>
    <w:p>
      <w:pPr>
        <w:pStyle w:val="15"/>
        <w:rPr>
          <w:rFonts w:ascii="Times New Roman" w:eastAsia="方正仿宋_GBK" w:hAnsi="Times New Roman"/>
          <w:sz w:val="32"/>
          <w:szCs w:val="32"/>
        </w:rPr>
      </w:pPr>
    </w:p>
    <w:p>
      <w:pPr>
        <w:pStyle w:val="15"/>
        <w:rPr>
          <w:rFonts w:ascii="Times New Roman" w:eastAsia="方正仿宋_GBK" w:hAnsi="Times New Roman"/>
          <w:sz w:val="32"/>
          <w:szCs w:val="32"/>
        </w:rPr>
      </w:pPr>
    </w:p>
    <w:tbl>
      <w:tblPr>
        <w:jc w:val="left"/>
        <w:tblInd w:w="0" w:type="dxa"/>
        <w:tblW w:w="9165"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2916"/>
        <w:gridCol w:w="2915"/>
        <w:gridCol w:w="2303"/>
        <w:gridCol w:w="1031"/>
      </w:tblGrid>
      <w:tr>
        <w:trPr>
          <w:trHeight w:val="330"/>
        </w:trPr>
        <w:tc>
          <w:tcPr>
            <w:tcW w:w="2916" w:type="dxa"/>
            <w:shd w:val="clear" w:color="auto" w:fill="auto"/>
            <w:vAlign w:val="bottom"/>
          </w:tcPr>
          <w:p>
            <w:pPr>
              <w:jc w:val="center"/>
              <w:rPr>
                <w:rFonts w:ascii="Calibri" w:eastAsia="宋体" w:cs="Calibri" w:hAnsi="Calibri" w:hint="eastAsia"/>
                <w:i w:val="0"/>
                <w:color w:val="000000"/>
                <w:sz w:val="20"/>
                <w:szCs w:val="20"/>
                <w:u w:val="none"/>
              </w:rPr>
            </w:pPr>
          </w:p>
        </w:tc>
        <w:tc>
          <w:tcPr>
            <w:tcW w:w="2915" w:type="dxa"/>
            <w:shd w:val="clear" w:color="auto" w:fill="auto"/>
            <w:vAlign w:val="bottom"/>
          </w:tcPr>
          <w:p>
            <w:pPr>
              <w:jc w:val="center"/>
              <w:rPr>
                <w:rFonts w:ascii="Calibri" w:eastAsia="宋体" w:cs="Calibri" w:hAnsi="Calibri"/>
                <w:i w:val="0"/>
                <w:color w:val="000000"/>
                <w:sz w:val="20"/>
                <w:szCs w:val="20"/>
                <w:u w:val="none"/>
              </w:rPr>
            </w:pPr>
          </w:p>
        </w:tc>
        <w:tc>
          <w:tcPr>
            <w:tcW w:w="3334" w:type="dxa"/>
            <w:gridSpan w:val="2"/>
            <w:shd w:val="clear" w:color="auto" w:fill="auto"/>
            <w:vAlign w:val="bottom"/>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cs="宋体" w:hint="eastAsia"/>
                <w:i w:val="0"/>
                <w:color w:val="000000"/>
                <w:kern w:val="0"/>
                <w:sz w:val="20"/>
                <w:szCs w:val="20"/>
                <w:u w:val="none"/>
                <w:lang w:val="en-US" w:eastAsia="zh-CN"/>
              </w:rPr>
              <w:t xml:space="preserve">                  </w:t>
            </w:r>
            <w:r>
              <w:rPr>
                <w:rFonts w:ascii="宋体" w:eastAsia="宋体" w:cs="宋体" w:hint="eastAsia"/>
                <w:i w:val="0"/>
                <w:color w:val="000000"/>
                <w:kern w:val="0"/>
                <w:sz w:val="20"/>
                <w:szCs w:val="20"/>
                <w:u w:val="none"/>
                <w:lang w:val="en-US" w:eastAsia="zh-CN"/>
              </w:rPr>
              <w:t>部门公开表4</w:t>
            </w:r>
          </w:p>
        </w:tc>
      </w:tr>
      <w:tr>
        <w:trPr>
          <w:trHeight w:val="660"/>
        </w:trPr>
        <w:tc>
          <w:tcPr>
            <w:tcW w:w="9165" w:type="dxa"/>
            <w:gridSpan w:val="4"/>
            <w:shd w:val="clear" w:color="auto" w:fill="auto"/>
            <w:vAlign w:val="center"/>
          </w:tcPr>
          <w:p>
            <w:pPr>
              <w:keepNext w:val="0"/>
              <w:keepLines w:val="0"/>
              <w:widowControl/>
              <w:suppressLineNumbers w:val="0"/>
              <w:jc w:val="center"/>
              <w:textAlignment w:val="center"/>
              <w:rPr>
                <w:rFonts w:ascii="宋体" w:eastAsia="宋体" w:cs="宋体" w:hint="eastAsia"/>
                <w:b/>
                <w:i w:val="0"/>
                <w:color w:val="000000"/>
                <w:sz w:val="48"/>
                <w:szCs w:val="48"/>
                <w:u w:val="none"/>
              </w:rPr>
            </w:pPr>
            <w:r>
              <w:rPr>
                <w:rFonts w:ascii="宋体" w:eastAsia="宋体" w:cs="宋体" w:hint="eastAsia"/>
                <w:b/>
                <w:i w:val="0"/>
                <w:color w:val="000000"/>
                <w:kern w:val="0"/>
                <w:sz w:val="48"/>
                <w:szCs w:val="48"/>
                <w:u w:val="none"/>
                <w:lang w:val="en-US" w:eastAsia="zh-CN"/>
              </w:rPr>
              <w:t>财政拨款收支总表</w:t>
            </w:r>
          </w:p>
        </w:tc>
      </w:tr>
      <w:tr>
        <w:trPr>
          <w:trHeight w:val="301"/>
        </w:trPr>
        <w:tc>
          <w:tcPr>
            <w:tcW w:w="8134" w:type="dxa"/>
            <w:gridSpan w:val="3"/>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单位：中华人民共和国海拉尔海关</w:t>
            </w:r>
          </w:p>
        </w:tc>
        <w:tc>
          <w:tcPr>
            <w:tcW w:w="1031" w:type="dxa"/>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单位：万元</w:t>
            </w:r>
          </w:p>
        </w:tc>
      </w:tr>
      <w:tr>
        <w:trPr>
          <w:trHeight w:val="375"/>
        </w:trPr>
        <w:tc>
          <w:tcPr>
            <w:tcW w:w="5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收      入</w:t>
            </w:r>
          </w:p>
        </w:tc>
        <w:tc>
          <w:tcPr>
            <w:tcW w:w="33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支      出</w:t>
            </w: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    目</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预算数</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项    目</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预算数</w:t>
            </w: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一、本年收入</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1766.29</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一、本年支出</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1805.42</w:t>
            </w: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（一）一般公共预算拨款</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1766.29</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（一）一般公共服务支出</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kern w:val="0"/>
                <w:sz w:val="18"/>
                <w:szCs w:val="18"/>
                <w:u w:val="none"/>
                <w:lang w:val="en-US" w:eastAsia="zh-CN"/>
              </w:rPr>
            </w:pPr>
            <w:r>
              <w:rPr>
                <w:rFonts w:ascii="宋体" w:eastAsia="宋体" w:cs="宋体" w:hint="eastAsia"/>
                <w:i w:val="0"/>
                <w:color w:val="000000"/>
                <w:kern w:val="0"/>
                <w:sz w:val="18"/>
                <w:szCs w:val="18"/>
                <w:u w:val="none"/>
                <w:lang w:val="en-US" w:eastAsia="zh-CN"/>
              </w:rPr>
              <w:t>1055.64</w:t>
            </w: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（二）政府性基金预算拨款</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（二）公共安全支出</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361.72</w:t>
            </w: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（三）国有资本经营预算拨款</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（三）社会保障和就业支出</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kern w:val="0"/>
                <w:sz w:val="18"/>
                <w:szCs w:val="18"/>
                <w:u w:val="none"/>
                <w:lang w:val="en-US" w:eastAsia="zh-CN"/>
              </w:rPr>
            </w:pPr>
            <w:r>
              <w:rPr>
                <w:rFonts w:ascii="宋体" w:eastAsia="宋体" w:cs="宋体" w:hint="eastAsia"/>
                <w:i w:val="0"/>
                <w:color w:val="000000"/>
                <w:kern w:val="0"/>
                <w:sz w:val="18"/>
                <w:szCs w:val="18"/>
                <w:u w:val="none"/>
                <w:lang w:val="en-US" w:eastAsia="zh-CN"/>
              </w:rPr>
              <w:t>158.54</w:t>
            </w:r>
          </w:p>
        </w:tc>
      </w:tr>
      <w:tr>
        <w:trPr>
          <w:trHeight w:val="407"/>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（四）卫生健康支出</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kern w:val="0"/>
                <w:sz w:val="18"/>
                <w:szCs w:val="18"/>
                <w:u w:val="none"/>
                <w:lang w:val="en-US" w:eastAsia="zh-CN"/>
              </w:rPr>
            </w:pPr>
            <w:r>
              <w:rPr>
                <w:rFonts w:ascii="宋体" w:eastAsia="宋体" w:cs="宋体" w:hint="eastAsia"/>
                <w:i w:val="0"/>
                <w:color w:val="000000"/>
                <w:kern w:val="0"/>
                <w:sz w:val="18"/>
                <w:szCs w:val="18"/>
                <w:u w:val="none"/>
                <w:lang w:val="en-US" w:eastAsia="zh-CN"/>
              </w:rPr>
              <w:t>68.91</w:t>
            </w: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二、上年结转</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39.13</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（五）住房保障支出</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160.61</w:t>
            </w: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（一）一般公共预算拨款</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39.13</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（二）政府性基金预算拨款</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18"/>
                <w:szCs w:val="18"/>
                <w:u w:val="none"/>
              </w:rPr>
            </w:pPr>
            <w:r>
              <w:rPr>
                <w:rFonts w:ascii="宋体" w:eastAsia="宋体" w:cs="宋体" w:hint="eastAsia"/>
                <w:i w:val="0"/>
                <w:color w:val="000000"/>
                <w:kern w:val="0"/>
                <w:sz w:val="18"/>
                <w:szCs w:val="18"/>
                <w:u w:val="none"/>
                <w:lang w:val="en-US" w:eastAsia="zh-CN"/>
              </w:rPr>
              <w:t>（三）国有资本经营预算拨款</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18"/>
                <w:szCs w:val="18"/>
                <w:u w:val="none"/>
              </w:rPr>
            </w:pP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color w:val="000000"/>
                <w:sz w:val="20"/>
                <w:szCs w:val="20"/>
                <w:u w:val="none"/>
              </w:rPr>
            </w:pPr>
          </w:p>
        </w:tc>
      </w:tr>
      <w:tr>
        <w:trPr>
          <w:trHeight w:val="375"/>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     收    入    总    计</w:t>
            </w:r>
          </w:p>
        </w:tc>
        <w:tc>
          <w:tcPr>
            <w:tcW w:w="291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lang w:val="en-US"/>
              </w:rPr>
            </w:pPr>
            <w:r>
              <w:rPr>
                <w:rFonts w:ascii="宋体" w:cs="宋体" w:hint="eastAsia"/>
                <w:i w:val="0"/>
                <w:color w:val="000000"/>
                <w:kern w:val="0"/>
                <w:sz w:val="20"/>
                <w:szCs w:val="20"/>
                <w:u w:val="none"/>
                <w:lang w:val="en-US" w:eastAsia="zh-CN"/>
              </w:rPr>
              <w:t>1805.42</w:t>
            </w:r>
          </w:p>
        </w:tc>
        <w:tc>
          <w:tcPr>
            <w:tcW w:w="230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rPr>
            </w:pPr>
            <w:r>
              <w:rPr>
                <w:rFonts w:ascii="宋体" w:eastAsia="宋体" w:cs="宋体" w:hint="eastAsia"/>
                <w:i w:val="0"/>
                <w:color w:val="000000"/>
                <w:kern w:val="0"/>
                <w:sz w:val="20"/>
                <w:szCs w:val="20"/>
                <w:u w:val="none"/>
                <w:lang w:val="en-US" w:eastAsia="zh-CN"/>
              </w:rPr>
              <w:t xml:space="preserve">  支    出    总    计</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0"/>
                <w:szCs w:val="20"/>
                <w:u w:val="none"/>
                <w:lang w:val="en-US"/>
              </w:rPr>
            </w:pPr>
            <w:r>
              <w:rPr>
                <w:rFonts w:ascii="宋体" w:cs="宋体" w:hint="eastAsia"/>
                <w:i w:val="0"/>
                <w:color w:val="000000"/>
                <w:kern w:val="0"/>
                <w:sz w:val="20"/>
                <w:szCs w:val="20"/>
                <w:u w:val="none"/>
                <w:lang w:val="en-US" w:eastAsia="zh-CN"/>
              </w:rPr>
              <w:t>1805.42</w:t>
            </w:r>
          </w:p>
        </w:tc>
      </w:tr>
      <w:tr>
        <w:trPr>
          <w:trHeight w:val="256"/>
        </w:trPr>
        <w:tc>
          <w:tcPr>
            <w:tcW w:w="2916" w:type="dxa"/>
            <w:shd w:val="clear" w:color="auto" w:fill="auto"/>
            <w:vAlign w:val="center"/>
          </w:tcPr>
          <w:p>
            <w:pPr>
              <w:rPr>
                <w:rFonts w:ascii="宋体" w:eastAsia="宋体" w:cs="宋体" w:hint="eastAsia"/>
                <w:i w:val="0"/>
                <w:color w:val="000000"/>
                <w:sz w:val="22"/>
                <w:szCs w:val="22"/>
                <w:u w:val="none"/>
              </w:rPr>
            </w:pPr>
          </w:p>
        </w:tc>
        <w:tc>
          <w:tcPr>
            <w:tcW w:w="2915" w:type="dxa"/>
            <w:shd w:val="clear" w:color="auto" w:fill="auto"/>
            <w:vAlign w:val="center"/>
          </w:tcPr>
          <w:p>
            <w:pPr>
              <w:rPr>
                <w:rFonts w:ascii="宋体" w:eastAsia="宋体" w:cs="宋体" w:hint="eastAsia"/>
                <w:i w:val="0"/>
                <w:color w:val="000000"/>
                <w:sz w:val="22"/>
                <w:szCs w:val="22"/>
                <w:u w:val="none"/>
              </w:rPr>
            </w:pPr>
          </w:p>
        </w:tc>
        <w:tc>
          <w:tcPr>
            <w:tcW w:w="2303" w:type="dxa"/>
            <w:shd w:val="clear" w:color="auto" w:fill="auto"/>
            <w:vAlign w:val="center"/>
          </w:tcPr>
          <w:p>
            <w:pPr>
              <w:rPr>
                <w:rFonts w:ascii="宋体" w:eastAsia="宋体" w:cs="宋体" w:hint="eastAsia"/>
                <w:i w:val="0"/>
                <w:color w:val="000000"/>
                <w:sz w:val="22"/>
                <w:szCs w:val="22"/>
                <w:u w:val="none"/>
              </w:rPr>
            </w:pPr>
          </w:p>
        </w:tc>
        <w:tc>
          <w:tcPr>
            <w:tcW w:w="1031" w:type="dxa"/>
            <w:shd w:val="clear" w:color="auto" w:fill="auto"/>
            <w:vAlign w:val="center"/>
          </w:tcPr>
          <w:p>
            <w:pPr>
              <w:rPr>
                <w:rFonts w:ascii="宋体" w:eastAsia="宋体" w:cs="宋体" w:hint="eastAsia"/>
                <w:i w:val="0"/>
                <w:color w:val="000000"/>
                <w:sz w:val="22"/>
                <w:szCs w:val="22"/>
                <w:u w:val="none"/>
              </w:rPr>
            </w:pPr>
          </w:p>
        </w:tc>
      </w:tr>
      <w:tr>
        <w:trPr>
          <w:trHeight w:val="256"/>
        </w:trPr>
        <w:tc>
          <w:tcPr>
            <w:tcW w:w="2916" w:type="dxa"/>
            <w:shd w:val="clear" w:color="auto" w:fill="auto"/>
            <w:vAlign w:val="center"/>
          </w:tcPr>
          <w:p>
            <w:pPr>
              <w:rPr>
                <w:rFonts w:ascii="宋体" w:eastAsia="宋体" w:cs="宋体" w:hint="eastAsia"/>
                <w:i w:val="0"/>
                <w:color w:val="000000"/>
                <w:sz w:val="22"/>
                <w:szCs w:val="22"/>
                <w:u w:val="none"/>
              </w:rPr>
            </w:pPr>
          </w:p>
        </w:tc>
        <w:tc>
          <w:tcPr>
            <w:tcW w:w="2915" w:type="dxa"/>
            <w:shd w:val="clear" w:color="auto" w:fill="auto"/>
            <w:vAlign w:val="center"/>
          </w:tcPr>
          <w:p>
            <w:pPr>
              <w:rPr>
                <w:rFonts w:ascii="宋体" w:eastAsia="宋体" w:cs="宋体" w:hint="eastAsia"/>
                <w:i w:val="0"/>
                <w:color w:val="000000"/>
                <w:sz w:val="22"/>
                <w:szCs w:val="22"/>
                <w:u w:val="none"/>
              </w:rPr>
            </w:pPr>
          </w:p>
        </w:tc>
        <w:tc>
          <w:tcPr>
            <w:tcW w:w="2303" w:type="dxa"/>
            <w:shd w:val="clear" w:color="auto" w:fill="auto"/>
            <w:vAlign w:val="center"/>
          </w:tcPr>
          <w:p>
            <w:pPr>
              <w:rPr>
                <w:rFonts w:ascii="宋体" w:eastAsia="宋体" w:cs="宋体" w:hint="eastAsia"/>
                <w:i w:val="0"/>
                <w:color w:val="000000"/>
                <w:sz w:val="22"/>
                <w:szCs w:val="22"/>
                <w:u w:val="none"/>
              </w:rPr>
            </w:pPr>
          </w:p>
        </w:tc>
        <w:tc>
          <w:tcPr>
            <w:tcW w:w="1031" w:type="dxa"/>
            <w:shd w:val="clear" w:color="auto" w:fill="auto"/>
            <w:vAlign w:val="center"/>
          </w:tcPr>
          <w:p>
            <w:pPr>
              <w:rPr>
                <w:rFonts w:ascii="宋体" w:eastAsia="宋体" w:cs="宋体" w:hint="eastAsia"/>
                <w:i w:val="0"/>
                <w:color w:val="000000"/>
                <w:sz w:val="22"/>
                <w:szCs w:val="22"/>
                <w:u w:val="none"/>
              </w:rPr>
            </w:pPr>
          </w:p>
        </w:tc>
      </w:tr>
    </w:tbl>
    <w:p>
      <w:pPr>
        <w:pStyle w:val="15"/>
        <w:sectPr>
          <w:pgSz w:w="11906" w:h="16838"/>
          <w:pgMar w:top="1440" w:right="1800" w:bottom="1440" w:left="1800" w:header="851" w:footer="992" w:gutter="0"/>
          <w:docGrid w:type="lines" w:linePitch="312" w:charSpace="0"/>
        </w:sectPr>
      </w:pPr>
    </w:p>
    <w:tbl>
      <w:tblPr>
        <w:tblpPr w:leftFromText="181" w:rightFromText="181" w:horzAnchor="margin" w:tblpXSpec="center" w:tblpYSpec="center"/>
        <w:tblW w:w="1549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62"/>
        <w:gridCol w:w="1873"/>
        <w:gridCol w:w="1056"/>
        <w:gridCol w:w="1694"/>
        <w:gridCol w:w="1326"/>
        <w:gridCol w:w="1310"/>
        <w:gridCol w:w="1150"/>
        <w:gridCol w:w="1630"/>
        <w:gridCol w:w="1284"/>
        <w:gridCol w:w="964"/>
        <w:gridCol w:w="1216"/>
        <w:gridCol w:w="1029"/>
      </w:tblGrid>
      <w:tr>
        <w:trPr>
          <w:trHeight w:val="285"/>
        </w:trPr>
        <w:tc>
          <w:tcPr>
            <w:tcW w:w="15494" w:type="dxa"/>
            <w:gridSpan w:val="12"/>
            <w:tcBorders>
              <w:top w:val="nil"/>
              <w:left w:val="nil"/>
              <w:bottom w:val="nil"/>
              <w:right w:val="nil"/>
            </w:tcBorders>
            <w:shd w:val="clear" w:color="auto" w:fill="auto"/>
            <w:vAlign w:val="center"/>
          </w:tcPr>
          <w:p>
            <w:pPr>
              <w:widowControl/>
              <w:jc w:val="right"/>
              <w:rPr>
                <w:rFonts w:ascii="Times New Roman" w:eastAsia="宋体" w:cs="宋体" w:hAnsi="Times New Roman" w:hint="eastAsia"/>
                <w:kern w:val="0"/>
                <w:sz w:val="36"/>
                <w:szCs w:val="36"/>
              </w:rPr>
            </w:pPr>
            <w:r>
              <w:rPr>
                <w:rFonts w:ascii="Times New Roman" w:eastAsia="黑体" w:cs="黑体" w:hAnsi="Times New Roman" w:hint="eastAsia"/>
                <w:kern w:val="0"/>
                <w:sz w:val="20"/>
                <w:szCs w:val="20"/>
                <w:lang w:eastAsia="zh-CN"/>
              </w:rPr>
              <w:t>部门公开表</w:t>
            </w:r>
            <w:r>
              <w:rPr>
                <w:rFonts w:ascii="Times New Roman" w:eastAsia="黑体" w:cs="黑体" w:hAnsi="Times New Roman" w:hint="eastAsia"/>
                <w:kern w:val="0"/>
                <w:sz w:val="20"/>
                <w:szCs w:val="20"/>
                <w:lang w:val="en-US" w:eastAsia="zh-CN"/>
              </w:rPr>
              <w:t>5</w:t>
            </w:r>
          </w:p>
        </w:tc>
      </w:tr>
      <w:tr>
        <w:trPr>
          <w:trHeight w:val="474"/>
        </w:trPr>
        <w:tc>
          <w:tcPr>
            <w:tcW w:w="15494" w:type="dxa"/>
            <w:gridSpan w:val="12"/>
            <w:tcBorders>
              <w:top w:val="nil"/>
              <w:left w:val="nil"/>
              <w:bottom w:val="nil"/>
              <w:right w:val="nil"/>
            </w:tcBorders>
            <w:shd w:val="clear" w:color="auto" w:fill="auto"/>
            <w:vAlign w:val="center"/>
          </w:tcPr>
          <w:p>
            <w:pPr>
              <w:widowControl/>
              <w:jc w:val="center"/>
              <w:rPr>
                <w:rFonts w:ascii="Times New Roman" w:eastAsia="宋体" w:cs="宋体" w:hAnsi="Times New Roman"/>
                <w:kern w:val="0"/>
                <w:sz w:val="36"/>
                <w:szCs w:val="36"/>
              </w:rPr>
            </w:pPr>
            <w:r>
              <w:rPr>
                <w:rFonts w:ascii="Times New Roman" w:eastAsia="宋体" w:cs="宋体" w:hAnsi="Times New Roman" w:hint="eastAsia"/>
                <w:kern w:val="0"/>
                <w:sz w:val="36"/>
                <w:szCs w:val="36"/>
              </w:rPr>
              <w:t>一般公共预算支出表</w:t>
            </w:r>
          </w:p>
        </w:tc>
      </w:tr>
      <w:tr>
        <w:trPr>
          <w:trHeight w:val="177"/>
        </w:trPr>
        <w:tc>
          <w:tcPr>
            <w:tcW w:w="962"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873"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056"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694"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326"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310"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150"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630"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284"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964" w:type="dxa"/>
            <w:tcBorders>
              <w:top w:val="nil"/>
              <w:left w:val="nil"/>
              <w:bottom w:val="nil"/>
              <w:right w:val="nil"/>
            </w:tcBorders>
            <w:shd w:val="clear" w:color="auto" w:fill="auto"/>
            <w:noWrap/>
            <w:vAlign w:val="center"/>
          </w:tcPr>
          <w:p>
            <w:pPr>
              <w:widowControl/>
              <w:jc w:val="left"/>
              <w:rPr>
                <w:rFonts w:ascii="Times New Roman" w:eastAsia="宋体" w:cs="宋体" w:hAnsi="Times New Roman"/>
                <w:kern w:val="0"/>
                <w:sz w:val="16"/>
                <w:szCs w:val="16"/>
              </w:rPr>
            </w:pPr>
          </w:p>
        </w:tc>
        <w:tc>
          <w:tcPr>
            <w:tcW w:w="1216"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16"/>
                <w:szCs w:val="16"/>
              </w:rPr>
            </w:pPr>
            <w:r>
              <w:rPr>
                <w:rFonts w:ascii="Times New Roman" w:eastAsia="宋体" w:cs="宋体" w:hAnsi="Times New Roman" w:hint="eastAsia"/>
                <w:kern w:val="0"/>
                <w:sz w:val="16"/>
                <w:szCs w:val="16"/>
              </w:rPr>
              <w:t>　</w:t>
            </w:r>
          </w:p>
        </w:tc>
        <w:tc>
          <w:tcPr>
            <w:tcW w:w="1029" w:type="dxa"/>
            <w:tcBorders>
              <w:top w:val="nil"/>
              <w:left w:val="nil"/>
              <w:bottom w:val="nil"/>
              <w:right w:val="nil"/>
            </w:tcBorders>
            <w:shd w:val="clear" w:color="auto" w:fill="auto"/>
            <w:noWrap/>
            <w:vAlign w:val="center"/>
          </w:tcPr>
          <w:p>
            <w:pPr>
              <w:widowControl/>
              <w:jc w:val="right"/>
              <w:rPr>
                <w:rFonts w:ascii="Times New Roman" w:eastAsia="宋体" w:cs="宋体" w:hAnsi="Times New Roman"/>
                <w:kern w:val="0"/>
                <w:sz w:val="16"/>
                <w:szCs w:val="16"/>
              </w:rPr>
            </w:pPr>
            <w:r>
              <w:rPr>
                <w:rFonts w:ascii="Times New Roman" w:eastAsia="宋体" w:cs="宋体" w:hAnsi="Times New Roman" w:hint="eastAsia"/>
                <w:kern w:val="0"/>
                <w:sz w:val="16"/>
                <w:szCs w:val="16"/>
              </w:rPr>
              <w:t>单位：万元</w:t>
            </w:r>
          </w:p>
        </w:tc>
      </w:tr>
      <w:tr>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功能分类科目</w:t>
            </w:r>
          </w:p>
        </w:tc>
        <w:tc>
          <w:tcPr>
            <w:tcW w:w="275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r>
          </w:p>
        </w:tc>
        <w:tc>
          <w:tcPr>
            <w:tcW w:w="5416" w:type="dxa"/>
            <w:gridSpan w:val="4"/>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年预算数比</w:t>
            </w:r>
          </w:p>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年预算数比</w:t>
            </w:r>
          </w:p>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r>
          </w:p>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（扣除中央基建投资）</w:t>
            </w:r>
          </w:p>
        </w:tc>
      </w:tr>
      <w:tr>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执行数</w:t>
            </w:r>
          </w:p>
        </w:tc>
        <w:tc>
          <w:tcPr>
            <w:tcW w:w="169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扣除中央基建投资后执行数</w:t>
            </w:r>
          </w:p>
        </w:tc>
        <w:tc>
          <w:tcPr>
            <w:tcW w:w="3786"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年初预算数</w:t>
            </w:r>
          </w:p>
        </w:tc>
        <w:tc>
          <w:tcPr>
            <w:tcW w:w="1630"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扣除中央基建投资后预算数</w:t>
            </w:r>
          </w:p>
        </w:tc>
        <w:tc>
          <w:tcPr>
            <w:tcW w:w="1284"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增减额</w:t>
            </w:r>
          </w:p>
        </w:tc>
        <w:tc>
          <w:tcPr>
            <w:tcW w:w="964"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w:t>
            </w:r>
            <w:r>
              <w:rPr>
                <w:rFonts w:ascii="Times New Roman" w:eastAsia="宋体" w:cs="宋体" w:hAnsi="Times New Roman" w:hint="eastAsia"/>
                <w:kern w:val="0"/>
                <w:sz w:val="16"/>
                <w:szCs w:val="16"/>
                <w:lang w:eastAsia="zh-CN"/>
              </w:rPr>
              <w:t>(</w:t>
            </w:r>
            <w:r>
              <w:rPr>
                <w:rFonts w:ascii="Times New Roman" w:eastAsia="宋体" w:cs="宋体" w:hAnsi="Times New Roman" w:hint="eastAsia"/>
                <w:kern w:val="0"/>
                <w:sz w:val="16"/>
                <w:szCs w:val="16"/>
              </w:rPr>
              <w:t>%)</w:t>
            </w:r>
          </w:p>
        </w:tc>
        <w:tc>
          <w:tcPr>
            <w:tcW w:w="1216"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增减额</w:t>
            </w:r>
          </w:p>
        </w:tc>
        <w:tc>
          <w:tcPr>
            <w:tcW w:w="1029"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w:t>
            </w:r>
            <w:r>
              <w:rPr>
                <w:rFonts w:ascii="Times New Roman" w:eastAsia="宋体" w:cs="宋体" w:hAnsi="Times New Roman" w:hint="eastAsia"/>
                <w:kern w:val="0"/>
                <w:sz w:val="16"/>
                <w:szCs w:val="16"/>
                <w:lang w:eastAsia="zh-CN"/>
              </w:rPr>
              <w:t>（</w:t>
            </w:r>
            <w:r>
              <w:rPr>
                <w:rFonts w:ascii="Times New Roman" w:eastAsia="宋体" w:cs="宋体" w:hAnsi="Times New Roman" w:hint="eastAsia"/>
                <w:kern w:val="0"/>
                <w:sz w:val="16"/>
                <w:szCs w:val="16"/>
              </w:rPr>
              <w:t>%)</w:t>
            </w:r>
          </w:p>
        </w:tc>
      </w:tr>
      <w:tr>
        <w:trPr>
          <w:trHeight w:val="255"/>
        </w:trPr>
        <w:tc>
          <w:tcPr>
            <w:tcW w:w="962" w:type="dxa"/>
            <w:vMerge/>
            <w:tcBorders>
              <w:top w:val="nil"/>
              <w:left w:val="single" w:sz="4" w:space="0" w:color="auto"/>
              <w:bottom w:val="single" w:sz="4" w:space="0" w:color="000000"/>
              <w:right w:val="single" w:sz="4" w:space="0" w:color="auto"/>
            </w:tcBorders>
            <w:vAlign w:val="center"/>
          </w:tcPr>
          <w:p/>
        </w:tc>
        <w:tc>
          <w:tcPr>
            <w:tcW w:w="1873" w:type="dxa"/>
            <w:vMerge/>
            <w:tcBorders>
              <w:top w:val="nil"/>
              <w:left w:val="single" w:sz="4" w:space="0" w:color="auto"/>
              <w:bottom w:val="single" w:sz="4" w:space="0" w:color="000000"/>
              <w:right w:val="single" w:sz="4" w:space="0" w:color="auto"/>
            </w:tcBorders>
            <w:vAlign w:val="center"/>
          </w:tcPr>
          <w:p/>
        </w:tc>
        <w:tc>
          <w:tcPr>
            <w:tcW w:w="1056" w:type="dxa"/>
            <w:vMerge/>
            <w:tcBorders>
              <w:top w:val="nil"/>
              <w:left w:val="single" w:sz="4" w:space="0" w:color="auto"/>
              <w:bottom w:val="single" w:sz="4" w:space="0" w:color="000000"/>
              <w:right w:val="single" w:sz="4" w:space="0" w:color="auto"/>
            </w:tcBorders>
            <w:vAlign w:val="center"/>
          </w:tcPr>
          <w:p/>
        </w:tc>
        <w:tc>
          <w:tcPr>
            <w:tcW w:w="1694" w:type="dxa"/>
            <w:vMerge/>
            <w:tcBorders>
              <w:top w:val="nil"/>
              <w:left w:val="single" w:sz="4" w:space="0" w:color="auto"/>
              <w:bottom w:val="single" w:sz="4" w:space="0" w:color="000000"/>
              <w:right w:val="single" w:sz="4" w:space="0" w:color="auto"/>
            </w:tcBorders>
            <w:vAlign w:val="center"/>
          </w:tcPr>
          <w:p/>
        </w:tc>
        <w:tc>
          <w:tcPr>
            <w:tcW w:w="1326"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项目支出</w:t>
            </w:r>
          </w:p>
        </w:tc>
        <w:tc>
          <w:tcPr>
            <w:tcW w:w="1630"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c>
          <w:tcPr>
            <w:tcW w:w="1284"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c>
          <w:tcPr>
            <w:tcW w:w="964"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c>
          <w:tcPr>
            <w:tcW w:w="1216"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c>
          <w:tcPr>
            <w:tcW w:w="1029"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一般公共服务支出</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964.56</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964.56</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1053.24</w:t>
            </w:r>
          </w:p>
        </w:tc>
        <w:tc>
          <w:tcPr>
            <w:tcW w:w="131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891.20</w:t>
            </w: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162.04</w:t>
            </w: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1053.24</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88.68</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9.19</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cs="Times New Roman" w:hint="eastAsia"/>
                <w:b/>
                <w:bCs/>
                <w:color w:val="000000"/>
                <w:kern w:val="0"/>
                <w:sz w:val="16"/>
                <w:szCs w:val="16"/>
                <w:lang w:val="en-US" w:eastAsia="zh-CN"/>
              </w:rPr>
            </w:pPr>
            <w:r>
              <w:rPr>
                <w:rFonts w:cs="Times New Roman" w:hint="eastAsia"/>
                <w:b/>
                <w:bCs/>
                <w:color w:val="000000"/>
                <w:kern w:val="0"/>
                <w:sz w:val="16"/>
                <w:szCs w:val="16"/>
                <w:lang w:val="en-US" w:eastAsia="zh-CN"/>
              </w:rPr>
              <w:t>88.68</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cs="Times New Roman" w:hint="eastAsia"/>
                <w:b/>
                <w:bCs/>
                <w:color w:val="000000"/>
                <w:kern w:val="0"/>
                <w:sz w:val="16"/>
                <w:szCs w:val="16"/>
                <w:lang w:val="en-US" w:eastAsia="zh-CN"/>
              </w:rPr>
            </w:pPr>
            <w:r>
              <w:rPr>
                <w:rFonts w:cs="Times New Roman" w:hint="eastAsia"/>
                <w:b/>
                <w:bCs/>
                <w:color w:val="000000"/>
                <w:kern w:val="0"/>
                <w:sz w:val="16"/>
                <w:szCs w:val="16"/>
                <w:lang w:val="en-US" w:eastAsia="zh-CN"/>
              </w:rPr>
              <w:t>9.19</w:t>
            </w:r>
          </w:p>
        </w:tc>
      </w:tr>
      <w:tr>
        <w:trPr>
          <w:trHeight w:val="274"/>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20109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海关事务</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964.56</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964.56</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1053.24</w:t>
            </w:r>
          </w:p>
        </w:tc>
        <w:tc>
          <w:tcPr>
            <w:tcW w:w="131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891.20</w:t>
            </w: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162.04</w:t>
            </w: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cs="Times New Roman" w:hint="eastAsia"/>
                <w:b/>
                <w:bCs/>
                <w:color w:val="000000"/>
                <w:kern w:val="0"/>
                <w:sz w:val="16"/>
                <w:szCs w:val="16"/>
                <w:lang w:val="en-US" w:eastAsia="zh-CN"/>
              </w:rPr>
              <w:t>1053.24</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88.68</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9.19</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cs="Times New Roman" w:hint="eastAsia"/>
                <w:b/>
                <w:bCs/>
                <w:color w:val="000000"/>
                <w:kern w:val="0"/>
                <w:sz w:val="16"/>
                <w:szCs w:val="16"/>
                <w:lang w:val="en-US" w:eastAsia="zh-CN"/>
              </w:rPr>
              <w:t>88.68</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9.19</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792.76</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792.76</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891.20</w:t>
            </w:r>
          </w:p>
        </w:tc>
        <w:tc>
          <w:tcPr>
            <w:tcW w:w="131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891.20</w:t>
            </w:r>
          </w:p>
        </w:tc>
        <w:tc>
          <w:tcPr>
            <w:tcW w:w="115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891.20</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98.44</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12.42</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98.44</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12.42</w:t>
            </w:r>
          </w:p>
        </w:tc>
      </w:tr>
      <w:tr>
        <w:trPr>
          <w:trHeight w:val="90"/>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color w:val="000000"/>
                <w:kern w:val="0"/>
                <w:sz w:val="16"/>
                <w:szCs w:val="16"/>
                <w:lang w:val="en-US" w:eastAsia="zh-CN"/>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2010903</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机关服务</w:t>
            </w:r>
          </w:p>
        </w:tc>
        <w:tc>
          <w:tcPr>
            <w:tcW w:w="105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缉私办案</w:t>
            </w:r>
          </w:p>
        </w:tc>
        <w:tc>
          <w:tcPr>
            <w:tcW w:w="105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color w:val="000000"/>
                <w:kern w:val="0"/>
                <w:sz w:val="16"/>
                <w:szCs w:val="16"/>
                <w:lang w:val="en-US" w:eastAsia="zh-CN"/>
              </w:rPr>
            </w:pPr>
            <w:r>
              <w:rPr>
                <w:rFonts w:cs="Times New Roman" w:hint="eastAsia"/>
                <w:color w:val="000000"/>
                <w:kern w:val="0"/>
                <w:sz w:val="16"/>
                <w:szCs w:val="16"/>
                <w:lang w:val="en-US" w:eastAsia="zh-CN"/>
              </w:rPr>
              <w:t>19.80</w:t>
            </w:r>
          </w:p>
        </w:tc>
        <w:tc>
          <w:tcPr>
            <w:tcW w:w="169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color w:val="000000"/>
                <w:kern w:val="0"/>
                <w:sz w:val="16"/>
                <w:szCs w:val="16"/>
                <w:lang w:val="en-US" w:eastAsia="zh-CN"/>
              </w:rPr>
            </w:pPr>
            <w:r>
              <w:rPr>
                <w:rFonts w:cs="Times New Roman" w:hint="eastAsia"/>
                <w:color w:val="000000"/>
                <w:kern w:val="0"/>
                <w:sz w:val="16"/>
                <w:szCs w:val="16"/>
                <w:lang w:val="en-US" w:eastAsia="zh-CN"/>
              </w:rPr>
              <w:t>19.80</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Times New Roman" w:eastAsia="宋体" w:cs="Times New Roman" w:hAnsi="Times New Roman"/>
                <w:i w:val="0"/>
                <w:color w:val="000000"/>
                <w:kern w:val="0"/>
                <w:sz w:val="16"/>
                <w:szCs w:val="16"/>
                <w:u w:val="none"/>
                <w:lang w:val="en-US" w:eastAsia="zh-CN"/>
              </w:rPr>
              <w:t>19.80</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b/>
                <w:i w:val="0"/>
                <w:color w:val="000000"/>
                <w:kern w:val="0"/>
                <w:sz w:val="16"/>
                <w:szCs w:val="16"/>
                <w:u w:val="none"/>
                <w:lang w:val="en-US" w:eastAsia="zh-CN"/>
              </w:rPr>
              <w:t>-</w:t>
            </w:r>
            <w:r>
              <w:rPr>
                <w:rFonts w:cs="Times New Roman" w:hint="eastAsia"/>
                <w:color w:val="000000"/>
                <w:kern w:val="0"/>
                <w:sz w:val="16"/>
                <w:szCs w:val="16"/>
                <w:lang w:val="en-US" w:eastAsia="zh-CN"/>
              </w:rPr>
              <w:t>19.80</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cs="Times New Roman" w:hint="eastAsia"/>
                <w:color w:val="000000"/>
                <w:kern w:val="0"/>
                <w:sz w:val="16"/>
                <w:szCs w:val="16"/>
                <w:lang w:val="en-US" w:eastAsia="zh-CN"/>
              </w:rPr>
              <w:t>-100</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cs="Times New Roman" w:hint="eastAsia"/>
                <w:i w:val="0"/>
                <w:color w:val="000000"/>
                <w:kern w:val="0"/>
                <w:sz w:val="16"/>
                <w:szCs w:val="16"/>
                <w:u w:val="none"/>
                <w:lang w:val="en-US" w:eastAsia="zh-CN"/>
              </w:rPr>
              <w:t>-</w:t>
            </w:r>
            <w:r>
              <w:rPr>
                <w:rFonts w:ascii="Times New Roman" w:eastAsia="宋体" w:cs="Times New Roman" w:hAnsi="Times New Roman"/>
                <w:i w:val="0"/>
                <w:color w:val="000000"/>
                <w:kern w:val="0"/>
                <w:sz w:val="16"/>
                <w:szCs w:val="16"/>
                <w:u w:val="none"/>
                <w:lang w:val="en-US" w:eastAsia="zh-CN"/>
              </w:rPr>
              <w:t>19.80</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cs="Times New Roman" w:hint="eastAsia"/>
                <w:color w:val="000000"/>
                <w:kern w:val="0"/>
                <w:sz w:val="16"/>
                <w:szCs w:val="16"/>
                <w:lang w:val="en-US" w:eastAsia="zh-CN"/>
              </w:rPr>
              <w:t>-100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2010907</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口岸管理</w:t>
            </w:r>
          </w:p>
        </w:tc>
        <w:tc>
          <w:tcPr>
            <w:tcW w:w="105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2010908</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2010909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海关关务</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127.00</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127.00</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142.14</w:t>
            </w:r>
          </w:p>
        </w:tc>
        <w:tc>
          <w:tcPr>
            <w:tcW w:w="131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142.14</w:t>
            </w: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142.14</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15.14</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11.9</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15.14</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11.92</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2010910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关税征管</w:t>
            </w:r>
          </w:p>
        </w:tc>
        <w:tc>
          <w:tcPr>
            <w:tcW w:w="105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p>
        </w:tc>
        <w:tc>
          <w:tcPr>
            <w:tcW w:w="121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2010911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海关监管</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19.50</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19.50</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7.90</w:t>
            </w:r>
          </w:p>
        </w:tc>
        <w:tc>
          <w:tcPr>
            <w:tcW w:w="131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7.90</w:t>
            </w: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7.90</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-11.60</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-59.49</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-11.60</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-59.49</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2010912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检验检疫</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5.50</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5.50</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12.00</w:t>
            </w:r>
          </w:p>
        </w:tc>
        <w:tc>
          <w:tcPr>
            <w:tcW w:w="131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12.00</w:t>
            </w: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12.00</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6.50</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118.18</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6.50</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118.18</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2010950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事业运行</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20111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纪检监察事务</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r>
      <w:tr>
        <w:trPr>
          <w:trHeight w:val="38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2011105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派驻派出机构</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r>
      <w:tr>
        <w:trPr>
          <w:trHeight w:val="255"/>
        </w:trPr>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功能分类科目</w:t>
            </w:r>
          </w:p>
        </w:tc>
        <w:tc>
          <w:tcPr>
            <w:tcW w:w="2750"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r>
          </w:p>
        </w:tc>
        <w:tc>
          <w:tcPr>
            <w:tcW w:w="5416" w:type="dxa"/>
            <w:gridSpan w:val="4"/>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年预算数比</w:t>
              <w:b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年预算数比</w:t>
              <w:b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br/>
              <w:t>（扣除中央基建投资）</w:t>
            </w:r>
          </w:p>
        </w:tc>
      </w:tr>
      <w:tr>
        <w:trPr>
          <w:trHeight w:val="255"/>
        </w:trPr>
        <w:tc>
          <w:tcPr>
            <w:tcW w:w="96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科目编码</w:t>
            </w:r>
          </w:p>
        </w:tc>
        <w:tc>
          <w:tcPr>
            <w:tcW w:w="187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执行数</w:t>
            </w:r>
          </w:p>
        </w:tc>
        <w:tc>
          <w:tcPr>
            <w:tcW w:w="169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扣除中央基建投资后执行数</w:t>
            </w:r>
          </w:p>
        </w:tc>
        <w:tc>
          <w:tcPr>
            <w:tcW w:w="3786"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年初预算数</w:t>
            </w:r>
          </w:p>
        </w:tc>
        <w:tc>
          <w:tcPr>
            <w:tcW w:w="1630"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扣除中央基建投资后预算数</w:t>
            </w:r>
          </w:p>
        </w:tc>
        <w:tc>
          <w:tcPr>
            <w:tcW w:w="1284"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增减额</w:t>
            </w:r>
          </w:p>
        </w:tc>
        <w:tc>
          <w:tcPr>
            <w:tcW w:w="964"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w:t>
            </w:r>
            <w:r>
              <w:rPr>
                <w:rFonts w:ascii="Times New Roman" w:eastAsia="宋体" w:cs="宋体" w:hAnsi="Times New Roman" w:hint="eastAsia"/>
                <w:kern w:val="0"/>
                <w:sz w:val="16"/>
                <w:szCs w:val="16"/>
                <w:lang w:eastAsia="zh-CN"/>
              </w:rPr>
              <w:t>(</w:t>
            </w:r>
            <w:r>
              <w:rPr>
                <w:rFonts w:ascii="Times New Roman" w:eastAsia="宋体" w:cs="宋体" w:hAnsi="Times New Roman" w:hint="eastAsia"/>
                <w:kern w:val="0"/>
                <w:sz w:val="16"/>
                <w:szCs w:val="16"/>
              </w:rPr>
              <w:t>%)</w:t>
            </w:r>
          </w:p>
        </w:tc>
        <w:tc>
          <w:tcPr>
            <w:tcW w:w="1216"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增减额</w:t>
            </w:r>
          </w:p>
        </w:tc>
        <w:tc>
          <w:tcPr>
            <w:tcW w:w="1029" w:type="dxa"/>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w:t>
            </w:r>
            <w:r>
              <w:rPr>
                <w:rFonts w:ascii="Times New Roman" w:eastAsia="宋体" w:cs="宋体" w:hAnsi="Times New Roman" w:hint="eastAsia"/>
                <w:kern w:val="0"/>
                <w:sz w:val="16"/>
                <w:szCs w:val="16"/>
                <w:lang w:eastAsia="zh-CN"/>
              </w:rPr>
              <w:t>（</w:t>
            </w:r>
            <w:r>
              <w:rPr>
                <w:rFonts w:ascii="Times New Roman" w:eastAsia="宋体" w:cs="宋体" w:hAnsi="Times New Roman" w:hint="eastAsia"/>
                <w:kern w:val="0"/>
                <w:sz w:val="16"/>
                <w:szCs w:val="16"/>
              </w:rPr>
              <w:t>%)</w:t>
            </w:r>
          </w:p>
        </w:tc>
      </w:tr>
      <w:tr>
        <w:trPr>
          <w:trHeight w:val="255"/>
        </w:trPr>
        <w:tc>
          <w:tcPr>
            <w:tcW w:w="962" w:type="dxa"/>
            <w:vMerge/>
            <w:tcBorders>
              <w:top w:val="nil"/>
              <w:left w:val="single" w:sz="4" w:space="0" w:color="auto"/>
              <w:bottom w:val="single" w:sz="4" w:space="0" w:color="000000"/>
              <w:right w:val="single" w:sz="4" w:space="0" w:color="auto"/>
            </w:tcBorders>
            <w:vAlign w:val="center"/>
          </w:tcPr>
          <w:p/>
        </w:tc>
        <w:tc>
          <w:tcPr>
            <w:tcW w:w="1873" w:type="dxa"/>
            <w:vMerge/>
            <w:tcBorders>
              <w:top w:val="nil"/>
              <w:left w:val="single" w:sz="4" w:space="0" w:color="auto"/>
              <w:bottom w:val="single" w:sz="4" w:space="0" w:color="000000"/>
              <w:right w:val="single" w:sz="4" w:space="0" w:color="auto"/>
            </w:tcBorders>
            <w:vAlign w:val="center"/>
          </w:tcPr>
          <w:p/>
        </w:tc>
        <w:tc>
          <w:tcPr>
            <w:tcW w:w="1056" w:type="dxa"/>
            <w:vMerge/>
            <w:tcBorders>
              <w:top w:val="nil"/>
              <w:left w:val="single" w:sz="4" w:space="0" w:color="auto"/>
              <w:bottom w:val="single" w:sz="4" w:space="0" w:color="000000"/>
              <w:right w:val="single" w:sz="4" w:space="0" w:color="auto"/>
            </w:tcBorders>
            <w:vAlign w:val="center"/>
          </w:tcPr>
          <w:p/>
        </w:tc>
        <w:tc>
          <w:tcPr>
            <w:tcW w:w="1694" w:type="dxa"/>
            <w:vMerge/>
            <w:tcBorders>
              <w:top w:val="nil"/>
              <w:left w:val="single" w:sz="4" w:space="0" w:color="auto"/>
              <w:bottom w:val="single" w:sz="4" w:space="0" w:color="000000"/>
              <w:right w:val="single" w:sz="4" w:space="0" w:color="auto"/>
            </w:tcBorders>
            <w:vAlign w:val="center"/>
          </w:tcPr>
          <w:p/>
        </w:tc>
        <w:tc>
          <w:tcPr>
            <w:tcW w:w="1326"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小计</w:t>
            </w:r>
          </w:p>
        </w:tc>
        <w:tc>
          <w:tcPr>
            <w:tcW w:w="13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项目支出</w:t>
            </w:r>
          </w:p>
        </w:tc>
        <w:tc>
          <w:tcPr>
            <w:tcW w:w="1630"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c>
          <w:tcPr>
            <w:tcW w:w="1284"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c>
          <w:tcPr>
            <w:tcW w:w="964"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c>
          <w:tcPr>
            <w:tcW w:w="1216"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c>
          <w:tcPr>
            <w:tcW w:w="1029" w:type="dxa"/>
            <w:tcBorders>
              <w:top w:val="nil"/>
              <w:left w:val="single" w:sz="4" w:space="0" w:color="auto"/>
              <w:bottom w:val="single" w:sz="4" w:space="0" w:color="000000"/>
              <w:right w:val="single" w:sz="4" w:space="0" w:color="auto"/>
            </w:tcBorders>
            <w:vAlign w:val="center"/>
          </w:tcPr>
          <w:p>
            <w:pPr>
              <w:rPr>
                <w:rFonts w:ascii="Times New Roman" w:hAnsi="Times New Roman"/>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外交支出</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20204</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国际组织</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2020401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国际组织会费</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2020402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国际组织捐赠</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20299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其他外交支出</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2029999</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其他外交支出</w:t>
            </w:r>
          </w:p>
        </w:tc>
        <w:tc>
          <w:tcPr>
            <w:tcW w:w="105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204</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公共安全支出</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eastAsia="宋体" w:cs="宋体" w:hint="eastAsia"/>
                <w:b/>
                <w:i w:val="0"/>
                <w:color w:val="000000"/>
                <w:kern w:val="0"/>
                <w:sz w:val="16"/>
                <w:szCs w:val="16"/>
                <w:u w:val="none"/>
                <w:lang w:val="en-US" w:eastAsia="zh-CN"/>
              </w:rPr>
              <w:t>315.55</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eastAsia="宋体" w:cs="宋体" w:hint="eastAsia"/>
                <w:b/>
                <w:i w:val="0"/>
                <w:color w:val="000000"/>
                <w:kern w:val="0"/>
                <w:sz w:val="16"/>
                <w:szCs w:val="16"/>
                <w:u w:val="none"/>
                <w:lang w:val="en-US" w:eastAsia="zh-CN"/>
              </w:rPr>
              <w:t>315.55</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347.09</w:t>
            </w:r>
          </w:p>
        </w:tc>
        <w:tc>
          <w:tcPr>
            <w:tcW w:w="131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299.09</w:t>
            </w: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48.00</w:t>
            </w: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347.09</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31.54</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10.00</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31.54</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10.00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20410</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缉私警察</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eastAsia="宋体" w:cs="宋体" w:hint="eastAsia"/>
                <w:b/>
                <w:i w:val="0"/>
                <w:color w:val="000000"/>
                <w:kern w:val="0"/>
                <w:sz w:val="16"/>
                <w:szCs w:val="16"/>
                <w:u w:val="none"/>
                <w:lang w:val="en-US" w:eastAsia="zh-CN"/>
              </w:rPr>
              <w:t>315.55</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eastAsia="宋体" w:cs="宋体" w:hint="eastAsia"/>
                <w:b/>
                <w:i w:val="0"/>
                <w:color w:val="000000"/>
                <w:kern w:val="0"/>
                <w:sz w:val="16"/>
                <w:szCs w:val="16"/>
                <w:u w:val="none"/>
                <w:lang w:val="en-US" w:eastAsia="zh-CN"/>
              </w:rPr>
              <w:t>315.55</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347.09</w:t>
            </w:r>
          </w:p>
        </w:tc>
        <w:tc>
          <w:tcPr>
            <w:tcW w:w="131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299.09</w:t>
            </w: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48.00</w:t>
            </w: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347.09</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31.54</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10.00</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31.54</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10.00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2041001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240.55</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240.55</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299.09</w:t>
            </w:r>
          </w:p>
        </w:tc>
        <w:tc>
          <w:tcPr>
            <w:tcW w:w="131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299.09</w:t>
            </w:r>
          </w:p>
        </w:tc>
        <w:tc>
          <w:tcPr>
            <w:tcW w:w="115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299.09</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58.54</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24.34</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58.54</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24.34</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2041002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2041007</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缉私业务</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75.00</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75.00</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48.00</w:t>
            </w:r>
          </w:p>
        </w:tc>
        <w:tc>
          <w:tcPr>
            <w:tcW w:w="131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48.00</w:t>
            </w: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48.00</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-27.00</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-36.00</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-27.00</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-36.00</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205</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教育支出</w:t>
            </w:r>
          </w:p>
        </w:tc>
        <w:tc>
          <w:tcPr>
            <w:tcW w:w="105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20502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普通教育</w:t>
            </w:r>
          </w:p>
        </w:tc>
        <w:tc>
          <w:tcPr>
            <w:tcW w:w="105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color w:val="000000"/>
                <w:kern w:val="0"/>
                <w:sz w:val="16"/>
                <w:szCs w:val="16"/>
              </w:rPr>
            </w:pP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2050205</w:t>
            </w:r>
          </w:p>
        </w:tc>
        <w:tc>
          <w:tcPr>
            <w:tcW w:w="1873"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高等教育</w:t>
            </w:r>
          </w:p>
        </w:tc>
        <w:tc>
          <w:tcPr>
            <w:tcW w:w="1056"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94"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26"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84"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964"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029"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208</w:t>
            </w:r>
          </w:p>
        </w:tc>
        <w:tc>
          <w:tcPr>
            <w:tcW w:w="1873"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社会保障和就业支出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125.88</w:t>
            </w:r>
          </w:p>
        </w:tc>
        <w:tc>
          <w:tcPr>
            <w:tcW w:w="1694"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125.88</w:t>
            </w:r>
          </w:p>
        </w:tc>
        <w:tc>
          <w:tcPr>
            <w:tcW w:w="1326"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152.45</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152.45</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b/>
                <w:bCs/>
                <w:color w:val="000000"/>
                <w:kern w:val="0"/>
                <w:sz w:val="16"/>
                <w:szCs w:val="16"/>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152.45</w:t>
            </w:r>
          </w:p>
        </w:tc>
        <w:tc>
          <w:tcPr>
            <w:tcW w:w="1284"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26.57</w:t>
            </w:r>
          </w:p>
        </w:tc>
        <w:tc>
          <w:tcPr>
            <w:tcW w:w="964"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21.11</w:t>
            </w:r>
          </w:p>
        </w:tc>
        <w:tc>
          <w:tcPr>
            <w:tcW w:w="1216"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26.57</w:t>
            </w:r>
          </w:p>
        </w:tc>
        <w:tc>
          <w:tcPr>
            <w:tcW w:w="1029" w:type="dxa"/>
            <w:tcBorders>
              <w:top w:val="single" w:sz="4" w:space="0" w:color="auto"/>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21.11</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20805</w:t>
            </w:r>
          </w:p>
        </w:tc>
        <w:tc>
          <w:tcPr>
            <w:tcW w:w="187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hint="eastAsia"/>
                <w:b/>
                <w:bCs/>
                <w:color w:val="000000"/>
                <w:kern w:val="0"/>
                <w:sz w:val="16"/>
                <w:szCs w:val="16"/>
              </w:rPr>
            </w:pPr>
            <w:r>
              <w:rPr>
                <w:rFonts w:ascii="Times New Roman" w:eastAsia="宋体" w:cs="宋体" w:hAnsi="Times New Roman" w:hint="eastAsia"/>
                <w:b/>
                <w:bCs/>
                <w:color w:val="000000"/>
                <w:kern w:val="0"/>
                <w:sz w:val="16"/>
                <w:szCs w:val="16"/>
              </w:rPr>
              <w:t>行政事业单位养老</w:t>
            </w:r>
          </w:p>
          <w:p>
            <w:pPr>
              <w:widowControl/>
              <w:jc w:val="center"/>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支出</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125.88</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125.88</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152.45</w:t>
            </w:r>
          </w:p>
        </w:tc>
        <w:tc>
          <w:tcPr>
            <w:tcW w:w="131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152.45</w:t>
            </w:r>
          </w:p>
        </w:tc>
        <w:tc>
          <w:tcPr>
            <w:tcW w:w="115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b/>
                <w:bCs/>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152.45</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26.57</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lang w:val="en-US"/>
              </w:rPr>
            </w:pPr>
            <w:r>
              <w:rPr>
                <w:rFonts w:ascii="宋体" w:cs="宋体" w:hint="eastAsia"/>
                <w:b/>
                <w:i w:val="0"/>
                <w:color w:val="000000"/>
                <w:kern w:val="0"/>
                <w:sz w:val="16"/>
                <w:szCs w:val="16"/>
                <w:u w:val="none"/>
                <w:lang w:val="en-US" w:eastAsia="zh-CN"/>
              </w:rPr>
              <w:t>21.11</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26.57</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21.11</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2080501</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行政单位离退休</w:t>
            </w:r>
          </w:p>
        </w:tc>
        <w:tc>
          <w:tcPr>
            <w:tcW w:w="105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19.62</w:t>
            </w:r>
          </w:p>
        </w:tc>
        <w:tc>
          <w:tcPr>
            <w:tcW w:w="169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19.62</w:t>
            </w:r>
          </w:p>
        </w:tc>
        <w:tc>
          <w:tcPr>
            <w:tcW w:w="132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26.83</w:t>
            </w:r>
          </w:p>
        </w:tc>
        <w:tc>
          <w:tcPr>
            <w:tcW w:w="131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26.83</w:t>
            </w:r>
          </w:p>
        </w:tc>
        <w:tc>
          <w:tcPr>
            <w:tcW w:w="1150"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26.83</w:t>
            </w:r>
          </w:p>
        </w:tc>
        <w:tc>
          <w:tcPr>
            <w:tcW w:w="128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7.21</w:t>
            </w:r>
          </w:p>
        </w:tc>
        <w:tc>
          <w:tcPr>
            <w:tcW w:w="964"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i w:val="0"/>
                <w:color w:val="000000"/>
                <w:kern w:val="0"/>
                <w:sz w:val="16"/>
                <w:szCs w:val="16"/>
                <w:u w:val="none"/>
                <w:lang w:val="en-US" w:eastAsia="zh-CN"/>
              </w:rPr>
            </w:pPr>
            <w:r>
              <w:rPr>
                <w:rFonts w:ascii="宋体" w:cs="宋体" w:hint="eastAsia"/>
                <w:i w:val="0"/>
                <w:color w:val="000000"/>
                <w:kern w:val="0"/>
                <w:sz w:val="16"/>
                <w:szCs w:val="16"/>
                <w:u w:val="none"/>
                <w:lang w:val="en-US" w:eastAsia="zh-CN"/>
              </w:rPr>
              <w:t>36.75</w:t>
            </w:r>
          </w:p>
        </w:tc>
        <w:tc>
          <w:tcPr>
            <w:tcW w:w="121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7.21</w:t>
            </w:r>
          </w:p>
        </w:tc>
        <w:tc>
          <w:tcPr>
            <w:tcW w:w="102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36.75</w:t>
            </w:r>
          </w:p>
        </w:tc>
      </w:tr>
      <w:tr>
        <w:trPr>
          <w:trHeight w:val="255"/>
        </w:trPr>
        <w:tc>
          <w:tcPr>
            <w:tcW w:w="962"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2080502</w:t>
            </w:r>
          </w:p>
        </w:tc>
        <w:tc>
          <w:tcPr>
            <w:tcW w:w="187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事业单位离退休</w:t>
            </w:r>
          </w:p>
        </w:tc>
        <w:tc>
          <w:tcPr>
            <w:tcW w:w="105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9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2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3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6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color w:val="000000"/>
                <w:kern w:val="0"/>
                <w:sz w:val="16"/>
                <w:szCs w:val="16"/>
              </w:rPr>
            </w:pPr>
          </w:p>
        </w:tc>
      </w:tr>
    </w:tbl>
    <w:tbl>
      <w:tblPr>
        <w:jc w:val="center"/>
        <w:tblW w:w="1559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93"/>
        <w:gridCol w:w="1843"/>
        <w:gridCol w:w="1276"/>
        <w:gridCol w:w="1559"/>
        <w:gridCol w:w="1276"/>
        <w:gridCol w:w="1275"/>
        <w:gridCol w:w="1276"/>
        <w:gridCol w:w="1559"/>
        <w:gridCol w:w="1276"/>
        <w:gridCol w:w="992"/>
        <w:gridCol w:w="1276"/>
        <w:gridCol w:w="992"/>
      </w:tblGrid>
      <w:tr>
        <w:trPr>
          <w:trHeight w:val="255"/>
        </w:trPr>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功能分类科目</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r>
          </w:p>
        </w:tc>
        <w:tc>
          <w:tcPr>
            <w:tcW w:w="5386" w:type="dxa"/>
            <w:gridSpan w:val="4"/>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年预算数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年预算数比</w:t>
              <w:b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202</w:t>
            </w:r>
            <w:r>
              <w:rPr>
                <w:rFonts w:cs="宋体" w:hint="eastAsia"/>
                <w:kern w:val="0"/>
                <w:sz w:val="16"/>
                <w:szCs w:val="16"/>
                <w:lang w:val="en-US" w:eastAsia="zh-CN"/>
              </w:rPr>
              <w:t>5</w:t>
            </w:r>
            <w:r>
              <w:rPr>
                <w:rFonts w:ascii="Times New Roman" w:eastAsia="宋体" w:cs="宋体" w:hAnsi="Times New Roman" w:hint="eastAsia"/>
                <w:kern w:val="0"/>
                <w:sz w:val="16"/>
                <w:szCs w:val="16"/>
              </w:rPr>
              <w:t>年预算数比</w:t>
              <w:br/>
              <w:t>202</w:t>
            </w:r>
            <w:r>
              <w:rPr>
                <w:rFonts w:cs="宋体" w:hint="eastAsia"/>
                <w:kern w:val="0"/>
                <w:sz w:val="16"/>
                <w:szCs w:val="16"/>
                <w:lang w:val="en-US" w:eastAsia="zh-CN"/>
              </w:rPr>
              <w:t>4</w:t>
            </w:r>
            <w:r>
              <w:rPr>
                <w:rFonts w:ascii="Times New Roman" w:eastAsia="宋体" w:cs="宋体" w:hAnsi="Times New Roman" w:hint="eastAsia"/>
                <w:kern w:val="0"/>
                <w:sz w:val="16"/>
                <w:szCs w:val="16"/>
              </w:rPr>
              <w:t>年执行数</w:t>
              <w:br/>
              <w:t>（扣除中央基建投资）</w:t>
            </w:r>
          </w:p>
        </w:tc>
      </w:tr>
      <w:tr>
        <w:trPr>
          <w:trHeight w:val="255"/>
        </w:trPr>
        <w:tc>
          <w:tcPr>
            <w:tcW w:w="99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科目编码</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科目名称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执行数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扣除中央基建投资后执行数</w:t>
            </w: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年初预算数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扣除中央基建投资后预算数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w:t>
            </w:r>
            <w:r>
              <w:rPr>
                <w:rFonts w:ascii="Times New Roman" w:eastAsia="宋体" w:cs="宋体" w:hAnsi="Times New Roman" w:hint="eastAsia"/>
                <w:kern w:val="0"/>
                <w:sz w:val="16"/>
                <w:szCs w:val="16"/>
                <w:lang w:eastAsia="zh-CN"/>
              </w:rPr>
              <w:t>(</w:t>
            </w:r>
            <w:r>
              <w:rPr>
                <w:rFonts w:ascii="Times New Roman" w:eastAsia="宋体" w:cs="宋体" w:hAnsi="Times New Roman" w:hint="eastAsia"/>
                <w:kern w:val="0"/>
                <w:sz w:val="16"/>
                <w:szCs w:val="16"/>
              </w:rPr>
              <w:t>%)</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增减</w:t>
            </w:r>
            <w:r>
              <w:rPr>
                <w:rFonts w:ascii="Times New Roman" w:eastAsia="宋体" w:cs="宋体" w:hAnsi="Times New Roman" w:hint="eastAsia"/>
                <w:kern w:val="0"/>
                <w:sz w:val="16"/>
                <w:szCs w:val="16"/>
                <w:lang w:eastAsia="zh-CN"/>
              </w:rPr>
              <w:t>(</w:t>
            </w:r>
            <w:r>
              <w:rPr>
                <w:rFonts w:ascii="Times New Roman" w:eastAsia="宋体" w:cs="宋体" w:hAnsi="Times New Roman" w:hint="eastAsia"/>
                <w:kern w:val="0"/>
                <w:sz w:val="16"/>
                <w:szCs w:val="16"/>
              </w:rPr>
              <w:t>%)</w:t>
            </w:r>
          </w:p>
        </w:tc>
      </w:tr>
      <w:tr>
        <w:trPr>
          <w:trHeight w:val="255"/>
        </w:trPr>
        <w:tc>
          <w:tcPr>
            <w:tcW w:w="993" w:type="dxa"/>
            <w:vMerge/>
            <w:tcBorders>
              <w:top w:val="nil"/>
              <w:left w:val="single" w:sz="4" w:space="0" w:color="auto"/>
              <w:bottom w:val="single" w:sz="4" w:space="0" w:color="000000"/>
              <w:right w:val="single" w:sz="4" w:space="0" w:color="auto"/>
            </w:tcBorders>
            <w:vAlign w:val="center"/>
          </w:tcPr>
          <w:p/>
        </w:tc>
        <w:tc>
          <w:tcPr>
            <w:tcW w:w="1843"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1559" w:type="dxa"/>
            <w:vMerge/>
            <w:tcBorders>
              <w:top w:val="nil"/>
              <w:left w:val="single" w:sz="4" w:space="0" w:color="auto"/>
              <w:bottom w:val="single" w:sz="4" w:space="0" w:color="000000"/>
              <w:right w:val="single" w:sz="4" w:space="0" w:color="auto"/>
            </w:tcBorders>
            <w:vAlign w:val="center"/>
          </w:tcP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小计</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基本支出</w:t>
            </w:r>
          </w:p>
        </w:tc>
        <w:tc>
          <w:tcPr>
            <w:tcW w:w="1276"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16"/>
                <w:szCs w:val="16"/>
              </w:rPr>
            </w:pPr>
            <w:r>
              <w:rPr>
                <w:rFonts w:ascii="Times New Roman" w:eastAsia="宋体" w:cs="宋体" w:hAnsi="Times New Roman" w:hint="eastAsia"/>
                <w:kern w:val="0"/>
                <w:sz w:val="16"/>
                <w:szCs w:val="16"/>
              </w:rPr>
              <w:t>项目支出</w:t>
            </w:r>
          </w:p>
        </w:tc>
        <w:tc>
          <w:tcPr>
            <w:tcW w:w="1559"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992" w:type="dxa"/>
            <w:vMerge/>
            <w:tcBorders>
              <w:top w:val="nil"/>
              <w:left w:val="single" w:sz="4" w:space="0" w:color="auto"/>
              <w:bottom w:val="single" w:sz="4" w:space="0" w:color="000000"/>
              <w:right w:val="single" w:sz="4" w:space="0" w:color="auto"/>
            </w:tcBorders>
            <w:vAlign w:val="center"/>
          </w:tcPr>
          <w:p/>
        </w:tc>
        <w:tc>
          <w:tcPr>
            <w:tcW w:w="1276" w:type="dxa"/>
            <w:vMerge/>
            <w:tcBorders>
              <w:top w:val="nil"/>
              <w:left w:val="single" w:sz="4" w:space="0" w:color="auto"/>
              <w:bottom w:val="single" w:sz="4" w:space="0" w:color="000000"/>
              <w:right w:val="single" w:sz="4" w:space="0" w:color="auto"/>
            </w:tcBorders>
            <w:vAlign w:val="center"/>
          </w:tcPr>
          <w:p/>
        </w:tc>
        <w:tc>
          <w:tcPr>
            <w:tcW w:w="992" w:type="dxa"/>
            <w:vMerge/>
            <w:tcBorders>
              <w:top w:val="nil"/>
              <w:left w:val="single" w:sz="4" w:space="0" w:color="auto"/>
              <w:bottom w:val="single" w:sz="4" w:space="0" w:color="000000"/>
              <w:right w:val="single" w:sz="4" w:space="0" w:color="auto"/>
            </w:tcBorders>
            <w:vAlign w:val="center"/>
          </w:tcP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2080503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离退休人员管理机构</w:t>
            </w:r>
          </w:p>
        </w:tc>
        <w:tc>
          <w:tcPr>
            <w:tcW w:w="127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16"/>
                <w:szCs w:val="16"/>
              </w:rPr>
            </w:pP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2080505</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机关事业单位基本养老保险缴费支出</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70.84</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70.84</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83.75</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83.75</w:t>
            </w: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83.75</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12.91</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18.22</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12.91</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18.22</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2080506</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机关事业单位职业年金缴费支出</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35.42</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35.42</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41.87</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41.87</w:t>
            </w: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41.87</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6.45</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18.21</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6.45</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18.21</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210</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卫生健康支出</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68.92</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68.92</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63.91</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63.91</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63.91</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-5.01</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-7.27</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-5.01</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-7.27</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21011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行政事业单位医疗</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color w:val="000000"/>
                <w:kern w:val="0"/>
                <w:sz w:val="16"/>
                <w:szCs w:val="16"/>
              </w:rPr>
            </w:pPr>
            <w:r>
              <w:rPr>
                <w:rFonts w:ascii="宋体" w:cs="宋体" w:hint="eastAsia"/>
                <w:b/>
                <w:i w:val="0"/>
                <w:color w:val="000000"/>
                <w:kern w:val="0"/>
                <w:sz w:val="16"/>
                <w:szCs w:val="16"/>
                <w:u w:val="none"/>
                <w:lang w:val="en-US" w:eastAsia="zh-CN"/>
              </w:rPr>
              <w:t>68.92</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68.92</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63.91</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63.91</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63.91</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-5.01</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-7.27</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-5.01</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-7.27</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2101101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行政单位医疗</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43.36</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43.36</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42.54</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42.54</w:t>
            </w: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42.54</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eastAsia="宋体" w:cs="宋体" w:hint="eastAsia"/>
                <w:i w:val="0"/>
                <w:color w:val="000000"/>
                <w:kern w:val="0"/>
                <w:sz w:val="16"/>
                <w:szCs w:val="16"/>
                <w:u w:val="none"/>
                <w:lang w:val="en-US" w:eastAsia="zh-CN"/>
              </w:rPr>
              <w:t>-</w:t>
            </w:r>
            <w:r>
              <w:rPr>
                <w:rFonts w:ascii="宋体" w:cs="宋体" w:hint="eastAsia"/>
                <w:i w:val="0"/>
                <w:color w:val="000000"/>
                <w:kern w:val="0"/>
                <w:sz w:val="16"/>
                <w:szCs w:val="16"/>
                <w:u w:val="none"/>
                <w:lang w:val="en-US" w:eastAsia="zh-CN"/>
              </w:rPr>
              <w:t>0.82</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eastAsia="宋体" w:cs="宋体" w:hint="eastAsia"/>
                <w:i w:val="0"/>
                <w:color w:val="000000"/>
                <w:kern w:val="0"/>
                <w:sz w:val="16"/>
                <w:szCs w:val="16"/>
                <w:u w:val="none"/>
                <w:lang w:val="en-US" w:eastAsia="zh-CN"/>
              </w:rPr>
              <w:t>-</w:t>
            </w:r>
            <w:r>
              <w:rPr>
                <w:rFonts w:ascii="宋体" w:cs="宋体" w:hint="eastAsia"/>
                <w:i w:val="0"/>
                <w:color w:val="000000"/>
                <w:kern w:val="0"/>
                <w:sz w:val="16"/>
                <w:szCs w:val="16"/>
                <w:u w:val="none"/>
                <w:lang w:val="en-US" w:eastAsia="zh-CN"/>
              </w:rPr>
              <w:t>1.89</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eastAsia="宋体" w:cs="宋体" w:hint="eastAsia"/>
                <w:i w:val="0"/>
                <w:color w:val="000000"/>
                <w:kern w:val="0"/>
                <w:sz w:val="16"/>
                <w:szCs w:val="16"/>
                <w:u w:val="none"/>
                <w:lang w:val="en-US" w:eastAsia="zh-CN"/>
              </w:rPr>
              <w:t>-</w:t>
            </w:r>
            <w:r>
              <w:rPr>
                <w:rFonts w:ascii="宋体" w:cs="宋体" w:hint="eastAsia"/>
                <w:i w:val="0"/>
                <w:color w:val="000000"/>
                <w:kern w:val="0"/>
                <w:sz w:val="16"/>
                <w:szCs w:val="16"/>
                <w:u w:val="none"/>
                <w:lang w:val="en-US" w:eastAsia="zh-CN"/>
              </w:rPr>
              <w:t>0.82</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eastAsia="宋体" w:cs="宋体" w:hint="eastAsia"/>
                <w:i w:val="0"/>
                <w:color w:val="000000"/>
                <w:kern w:val="0"/>
                <w:sz w:val="16"/>
                <w:szCs w:val="16"/>
                <w:u w:val="none"/>
                <w:lang w:val="en-US" w:eastAsia="zh-CN"/>
              </w:rPr>
              <w:t>-</w:t>
            </w:r>
            <w:r>
              <w:rPr>
                <w:rFonts w:ascii="宋体" w:cs="宋体" w:hint="eastAsia"/>
                <w:i w:val="0"/>
                <w:color w:val="000000"/>
                <w:kern w:val="0"/>
                <w:sz w:val="16"/>
                <w:szCs w:val="16"/>
                <w:u w:val="none"/>
                <w:lang w:val="en-US" w:eastAsia="zh-CN"/>
              </w:rPr>
              <w:t>1.89</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2101103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公务员医疗补助</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24.48</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24.48</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20.39</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20.39</w:t>
            </w: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20.39</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-4.09</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-16.71</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-4.09</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-16.71</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2101199</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其他行政事业单位医疗支出</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cs="Times New Roman" w:hint="eastAsia"/>
                <w:i w:val="0"/>
                <w:color w:val="000000"/>
                <w:kern w:val="0"/>
                <w:sz w:val="16"/>
                <w:szCs w:val="16"/>
                <w:u w:val="none"/>
                <w:lang w:val="en-US" w:eastAsia="zh-CN"/>
              </w:rPr>
              <w:t>1.08</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1.08</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0.98</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0.98</w:t>
            </w: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0.98</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-0.10</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eastAsia="宋体" w:cs="宋体" w:hint="eastAsia"/>
                <w:i w:val="0"/>
                <w:color w:val="000000"/>
                <w:kern w:val="0"/>
                <w:sz w:val="16"/>
                <w:szCs w:val="16"/>
                <w:u w:val="none"/>
                <w:lang w:val="en-US" w:eastAsia="zh-CN"/>
              </w:rPr>
              <w:t>-</w:t>
            </w:r>
            <w:r>
              <w:rPr>
                <w:rFonts w:ascii="宋体" w:cs="宋体" w:hint="eastAsia"/>
                <w:i w:val="0"/>
                <w:color w:val="000000"/>
                <w:kern w:val="0"/>
                <w:sz w:val="16"/>
                <w:szCs w:val="16"/>
                <w:u w:val="none"/>
                <w:lang w:val="en-US" w:eastAsia="zh-CN"/>
              </w:rPr>
              <w:t>9.26</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-0.10</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eastAsia="宋体" w:cs="宋体" w:hint="eastAsia"/>
                <w:i w:val="0"/>
                <w:color w:val="000000"/>
                <w:kern w:val="0"/>
                <w:sz w:val="16"/>
                <w:szCs w:val="16"/>
                <w:u w:val="none"/>
                <w:lang w:val="en-US" w:eastAsia="zh-CN"/>
              </w:rPr>
              <w:t>-</w:t>
            </w:r>
            <w:r>
              <w:rPr>
                <w:rFonts w:ascii="宋体" w:cs="宋体" w:hint="eastAsia"/>
                <w:i w:val="0"/>
                <w:color w:val="000000"/>
                <w:kern w:val="0"/>
                <w:sz w:val="16"/>
                <w:szCs w:val="16"/>
                <w:u w:val="none"/>
                <w:lang w:val="en-US" w:eastAsia="zh-CN"/>
              </w:rPr>
              <w:t>9.26</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221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住房保障支出</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148.58</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148.58</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149.60</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149.60</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149.60</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1.02</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0.69</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1.02</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0.69</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22102</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 xml:space="preserve">    住房改革支出</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148.58</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148.58</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149.60</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149.60</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149.60</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1.02</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0.69</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1.02</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0.69</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2210201</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住房公积金</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eastAsia="宋体" w:cs="宋体" w:hint="eastAsia"/>
                <w:i w:val="0"/>
                <w:color w:val="000000"/>
                <w:kern w:val="0"/>
                <w:sz w:val="16"/>
                <w:szCs w:val="16"/>
                <w:u w:val="none"/>
                <w:lang w:val="en-US" w:eastAsia="zh-CN"/>
              </w:rPr>
              <w:t>98.72</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eastAsia="宋体" w:cs="宋体" w:hint="eastAsia"/>
                <w:i w:val="0"/>
                <w:color w:val="000000"/>
                <w:kern w:val="0"/>
                <w:sz w:val="16"/>
                <w:szCs w:val="16"/>
                <w:u w:val="none"/>
                <w:lang w:val="en-US" w:eastAsia="zh-CN"/>
              </w:rPr>
              <w:t>98.72</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87.00</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87.00</w:t>
            </w: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87.00</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-11.72</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-11.87</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-11.72</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-11.87</w:t>
            </w: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2210202</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提租补贴</w:t>
            </w: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r>
      <w:tr>
        <w:trPr>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2210203</w:t>
            </w:r>
          </w:p>
        </w:tc>
        <w:tc>
          <w:tcPr>
            <w:tcW w:w="184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购房补贴</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eastAsia="宋体" w:cs="宋体" w:hint="eastAsia"/>
                <w:i w:val="0"/>
                <w:color w:val="000000"/>
                <w:kern w:val="0"/>
                <w:sz w:val="16"/>
                <w:szCs w:val="16"/>
                <w:u w:val="none"/>
                <w:lang w:val="en-US" w:eastAsia="zh-CN"/>
              </w:rPr>
              <w:t>49.86</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eastAsia="宋体" w:cs="宋体" w:hint="eastAsia"/>
                <w:i w:val="0"/>
                <w:color w:val="000000"/>
                <w:kern w:val="0"/>
                <w:sz w:val="16"/>
                <w:szCs w:val="16"/>
                <w:u w:val="none"/>
                <w:lang w:val="en-US" w:eastAsia="zh-CN"/>
              </w:rPr>
              <w:t>49.86</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62.60</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62.60</w:t>
            </w:r>
          </w:p>
        </w:tc>
        <w:tc>
          <w:tcPr>
            <w:tcW w:w="1276" w:type="dxa"/>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62.60</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color w:val="000000"/>
                <w:kern w:val="0"/>
                <w:sz w:val="16"/>
                <w:szCs w:val="16"/>
                <w:lang w:val="en-US" w:eastAsia="zh-CN"/>
              </w:rPr>
            </w:pPr>
            <w:r>
              <w:rPr>
                <w:rFonts w:ascii="宋体" w:cs="宋体" w:hint="eastAsia"/>
                <w:i w:val="0"/>
                <w:color w:val="000000"/>
                <w:kern w:val="0"/>
                <w:sz w:val="16"/>
                <w:szCs w:val="16"/>
                <w:u w:val="none"/>
                <w:lang w:val="en-US" w:eastAsia="zh-CN"/>
              </w:rPr>
              <w:t>12.74</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lang w:val="en-US"/>
              </w:rPr>
            </w:pPr>
            <w:r>
              <w:rPr>
                <w:rFonts w:ascii="宋体" w:cs="宋体" w:hint="eastAsia"/>
                <w:i w:val="0"/>
                <w:color w:val="000000"/>
                <w:kern w:val="0"/>
                <w:sz w:val="16"/>
                <w:szCs w:val="16"/>
                <w:u w:val="none"/>
                <w:lang w:val="en-US" w:eastAsia="zh-CN"/>
              </w:rPr>
              <w:t>25.55</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12.74</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color w:val="000000"/>
                <w:kern w:val="0"/>
                <w:sz w:val="16"/>
                <w:szCs w:val="16"/>
              </w:rPr>
            </w:pPr>
            <w:r>
              <w:rPr>
                <w:rFonts w:ascii="宋体" w:cs="宋体" w:hint="eastAsia"/>
                <w:i w:val="0"/>
                <w:color w:val="000000"/>
                <w:kern w:val="0"/>
                <w:sz w:val="16"/>
                <w:szCs w:val="16"/>
                <w:u w:val="none"/>
                <w:lang w:val="en-US" w:eastAsia="zh-CN"/>
              </w:rPr>
              <w:t>25.55</w:t>
            </w:r>
          </w:p>
        </w:tc>
      </w:tr>
      <w:tr>
        <w:trPr>
          <w:trHeight w:val="255"/>
        </w:trPr>
        <w:tc>
          <w:tcPr>
            <w:tcW w:w="2836"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b/>
                <w:bCs/>
                <w:color w:val="000000"/>
                <w:kern w:val="0"/>
                <w:sz w:val="16"/>
                <w:szCs w:val="16"/>
              </w:rPr>
            </w:pPr>
            <w:r>
              <w:rPr>
                <w:rFonts w:ascii="Times New Roman" w:eastAsia="宋体" w:cs="宋体" w:hAnsi="Times New Roman" w:hint="eastAsia"/>
                <w:b/>
                <w:bCs/>
                <w:color w:val="000000"/>
                <w:kern w:val="0"/>
                <w:sz w:val="16"/>
                <w:szCs w:val="16"/>
              </w:rPr>
              <w:t>合      计</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color w:val="000000"/>
                <w:kern w:val="0"/>
                <w:sz w:val="16"/>
                <w:szCs w:val="16"/>
                <w:lang w:val="en-US" w:eastAsia="zh-CN"/>
              </w:rPr>
            </w:pPr>
            <w:r>
              <w:rPr>
                <w:rFonts w:ascii="宋体" w:cs="宋体" w:hint="eastAsia"/>
                <w:b/>
                <w:i w:val="0"/>
                <w:color w:val="000000"/>
                <w:kern w:val="0"/>
                <w:sz w:val="16"/>
                <w:szCs w:val="16"/>
                <w:u w:val="none"/>
                <w:lang w:val="en-US" w:eastAsia="zh-CN"/>
              </w:rPr>
              <w:t>1623.49</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1623.49</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1766.29</w:t>
            </w:r>
          </w:p>
        </w:tc>
        <w:tc>
          <w:tcPr>
            <w:tcW w:w="1275"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1556.25</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210.04</w:t>
            </w:r>
          </w:p>
        </w:tc>
        <w:tc>
          <w:tcPr>
            <w:tcW w:w="1559"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1766.29</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142.80</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8.80</w:t>
            </w:r>
          </w:p>
        </w:tc>
        <w:tc>
          <w:tcPr>
            <w:tcW w:w="1276"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142.80</w:t>
            </w:r>
          </w:p>
        </w:tc>
        <w:tc>
          <w:tcPr>
            <w:tcW w:w="992"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宋体" w:cs="宋体" w:hint="eastAsia"/>
                <w:b/>
                <w:i w:val="0"/>
                <w:color w:val="000000"/>
                <w:kern w:val="0"/>
                <w:sz w:val="16"/>
                <w:szCs w:val="16"/>
                <w:u w:val="none"/>
                <w:lang w:val="en-US" w:eastAsia="zh-CN"/>
              </w:rPr>
            </w:pPr>
            <w:r>
              <w:rPr>
                <w:rFonts w:ascii="宋体" w:cs="宋体" w:hint="eastAsia"/>
                <w:b/>
                <w:i w:val="0"/>
                <w:color w:val="000000"/>
                <w:kern w:val="0"/>
                <w:sz w:val="16"/>
                <w:szCs w:val="16"/>
                <w:u w:val="none"/>
                <w:lang w:val="en-US" w:eastAsia="zh-CN"/>
              </w:rPr>
              <w:t>8.80</w:t>
            </w:r>
          </w:p>
        </w:tc>
      </w:tr>
    </w:tbl>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010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96"/>
        <w:gridCol w:w="3130"/>
        <w:gridCol w:w="2133"/>
        <w:gridCol w:w="1"/>
        <w:gridCol w:w="1991"/>
        <w:gridCol w:w="1"/>
        <w:gridCol w:w="1848"/>
      </w:tblGrid>
      <w:tr>
        <w:trPr>
          <w:trHeight w:val="1019"/>
        </w:trPr>
        <w:tc>
          <w:tcPr>
            <w:tcW w:w="996" w:type="dxa"/>
            <w:tcBorders>
              <w:top w:val="nil"/>
              <w:left w:val="nil"/>
              <w:bottom w:val="nil"/>
              <w:right w:val="nil"/>
            </w:tcBorders>
            <w:shd w:val="clear" w:color="auto" w:fill="auto"/>
            <w:noWrap/>
            <w:vAlign w:val="center"/>
          </w:tcPr>
          <w:p>
            <w:pPr>
              <w:widowControl/>
              <w:jc w:val="left"/>
              <w:rPr>
                <w:rFonts w:ascii="Times New Roman" w:hAnsi="Times New Roman"/>
              </w:rPr>
            </w:pPr>
          </w:p>
          <w:p>
            <w:pPr>
              <w:pStyle w:val="15"/>
              <w:rPr>
                <w:rFonts w:ascii="Times New Roman" w:hAnsi="Times New Roman"/>
              </w:rPr>
            </w:pPr>
          </w:p>
          <w:p>
            <w:pPr>
              <w:pStyle w:val="15"/>
              <w:rPr>
                <w:rFonts w:ascii="Times New Roman" w:eastAsia="宋体" w:cs="宋体" w:hAnsi="Times New Roman"/>
                <w:kern w:val="0"/>
                <w:sz w:val="24"/>
                <w:szCs w:val="24"/>
              </w:rPr>
            </w:pPr>
          </w:p>
          <w:p>
            <w:pPr>
              <w:pStyle w:val="15"/>
              <w:rPr>
                <w:rFonts w:ascii="Times New Roman" w:eastAsia="宋体" w:cs="宋体" w:hAnsi="Times New Roman"/>
                <w:kern w:val="0"/>
                <w:sz w:val="24"/>
                <w:szCs w:val="24"/>
              </w:rPr>
            </w:pPr>
          </w:p>
        </w:tc>
        <w:tc>
          <w:tcPr>
            <w:tcW w:w="313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133"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992" w:type="dxa"/>
            <w:gridSpan w:val="2"/>
            <w:tcBorders>
              <w:top w:val="nil"/>
              <w:left w:val="nil"/>
              <w:bottom w:val="nil"/>
              <w:right w:val="nil"/>
            </w:tcBorders>
            <w:shd w:val="clear" w:color="auto" w:fill="auto"/>
            <w:noWrap/>
            <w:vAlign w:val="center"/>
          </w:tcPr>
          <w:p>
            <w:pPr>
              <w:widowControl/>
              <w:jc w:val="center"/>
              <w:rPr>
                <w:rFonts w:ascii="Times New Roman" w:eastAsia="Times New Roman" w:cs="Times New Roman" w:hAnsi="Times New Roman"/>
                <w:kern w:val="0"/>
                <w:sz w:val="20"/>
                <w:szCs w:val="20"/>
              </w:rPr>
            </w:pPr>
          </w:p>
        </w:tc>
        <w:tc>
          <w:tcPr>
            <w:tcW w:w="1849" w:type="dxa"/>
            <w:gridSpan w:val="2"/>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部门公开表6</w:t>
            </w:r>
          </w:p>
        </w:tc>
      </w:tr>
      <w:tr>
        <w:trPr>
          <w:trHeight w:val="867"/>
        </w:trPr>
        <w:tc>
          <w:tcPr>
            <w:tcW w:w="10100" w:type="dxa"/>
            <w:gridSpan w:val="7"/>
            <w:tcBorders>
              <w:top w:val="nil"/>
              <w:left w:val="nil"/>
              <w:bottom w:val="nil"/>
              <w:right w:val="nil"/>
            </w:tcBorders>
            <w:shd w:val="clear" w:color="auto" w:fill="auto"/>
            <w:noWrap/>
            <w:vAlign w:val="center"/>
          </w:tcPr>
          <w:p>
            <w:pPr>
              <w:widowControl/>
              <w:jc w:val="both"/>
              <w:rPr>
                <w:rFonts w:ascii="Times New Roman" w:eastAsia="宋体" w:cs="宋体" w:hAnsi="Times New Roman" w:hint="eastAsia"/>
                <w:kern w:val="0"/>
                <w:sz w:val="36"/>
                <w:szCs w:val="36"/>
              </w:rPr>
            </w:pPr>
          </w:p>
          <w:p>
            <w:pPr>
              <w:widowControl/>
              <w:jc w:val="center"/>
              <w:rPr>
                <w:rFonts w:ascii="Times New Roman" w:eastAsia="宋体" w:cs="宋体" w:hAnsi="Times New Roman"/>
                <w:kern w:val="0"/>
                <w:sz w:val="36"/>
                <w:szCs w:val="36"/>
              </w:rPr>
            </w:pPr>
            <w:r>
              <w:rPr>
                <w:rFonts w:ascii="Times New Roman" w:eastAsia="宋体" w:cs="宋体" w:hAnsi="Times New Roman" w:hint="eastAsia"/>
                <w:kern w:val="0"/>
                <w:sz w:val="36"/>
                <w:szCs w:val="36"/>
              </w:rPr>
              <w:t>一般公共预算基本支出表</w:t>
            </w:r>
          </w:p>
        </w:tc>
      </w:tr>
      <w:tr>
        <w:trPr>
          <w:trHeight w:val="346"/>
        </w:trPr>
        <w:tc>
          <w:tcPr>
            <w:tcW w:w="996" w:type="dxa"/>
            <w:tcBorders>
              <w:top w:val="nil"/>
              <w:left w:val="nil"/>
              <w:bottom w:val="nil"/>
              <w:right w:val="nil"/>
            </w:tcBorders>
            <w:shd w:val="clear" w:color="auto" w:fill="auto"/>
            <w:noWrap/>
            <w:vAlign w:val="center"/>
          </w:tcPr>
          <w:p>
            <w:pPr>
              <w:widowControl/>
              <w:jc w:val="center"/>
              <w:rPr>
                <w:rFonts w:ascii="Times New Roman" w:eastAsia="宋体" w:cs="宋体" w:hAnsi="Times New Roman"/>
                <w:kern w:val="0"/>
                <w:szCs w:val="36"/>
              </w:rPr>
            </w:pPr>
          </w:p>
        </w:tc>
        <w:tc>
          <w:tcPr>
            <w:tcW w:w="3130"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2133" w:type="dxa"/>
            <w:tcBorders>
              <w:top w:val="nil"/>
              <w:left w:val="nil"/>
              <w:bottom w:val="single" w:sz="4" w:space="0" w:color="auto"/>
              <w:right w:val="nil"/>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kern w:val="0"/>
                <w:sz w:val="18"/>
                <w:szCs w:val="18"/>
              </w:rPr>
              <w:t>　</w:t>
            </w:r>
          </w:p>
        </w:tc>
        <w:tc>
          <w:tcPr>
            <w:tcW w:w="1992" w:type="dxa"/>
            <w:gridSpan w:val="2"/>
            <w:tcBorders>
              <w:top w:val="nil"/>
              <w:left w:val="nil"/>
              <w:bottom w:val="single" w:sz="4" w:space="0" w:color="auto"/>
              <w:right w:val="nil"/>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kern w:val="0"/>
                <w:sz w:val="18"/>
                <w:szCs w:val="18"/>
              </w:rPr>
              <w:t>　</w:t>
            </w:r>
          </w:p>
        </w:tc>
        <w:tc>
          <w:tcPr>
            <w:tcW w:w="1849" w:type="dxa"/>
            <w:gridSpan w:val="2"/>
            <w:tcBorders>
              <w:top w:val="nil"/>
              <w:left w:val="nil"/>
              <w:bottom w:val="nil"/>
              <w:right w:val="nil"/>
            </w:tcBorders>
            <w:shd w:val="clear" w:color="auto" w:fill="auto"/>
            <w:noWrap/>
            <w:vAlign w:val="center"/>
          </w:tcPr>
          <w:p>
            <w:pPr>
              <w:widowControl/>
              <w:jc w:val="right"/>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单位：万元</w:t>
            </w:r>
          </w:p>
        </w:tc>
      </w:tr>
      <w:tr>
        <w:trPr>
          <w:trHeight w:val="366"/>
        </w:trPr>
        <w:tc>
          <w:tcPr>
            <w:tcW w:w="4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18"/>
                <w:szCs w:val="18"/>
              </w:rPr>
            </w:pPr>
            <w:r>
              <w:rPr>
                <w:rFonts w:ascii="Times New Roman" w:eastAsia="宋体" w:cs="宋体" w:hAnsi="Times New Roman" w:hint="eastAsia"/>
                <w:kern w:val="0"/>
                <w:sz w:val="18"/>
                <w:szCs w:val="18"/>
              </w:rPr>
              <w:t>部门预算支出经济分类科目</w:t>
            </w:r>
          </w:p>
        </w:tc>
        <w:tc>
          <w:tcPr>
            <w:tcW w:w="5974" w:type="dxa"/>
            <w:gridSpan w:val="5"/>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本年一般公共预算基本支出</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18"/>
                <w:szCs w:val="18"/>
              </w:rPr>
            </w:pPr>
            <w:r>
              <w:rPr>
                <w:rFonts w:ascii="Times New Roman" w:eastAsia="宋体" w:cs="宋体" w:hAnsi="Times New Roman" w:hint="eastAsia"/>
                <w:kern w:val="0"/>
                <w:sz w:val="18"/>
                <w:szCs w:val="18"/>
              </w:rPr>
              <w:t>科目代码</w:t>
            </w:r>
          </w:p>
        </w:tc>
        <w:tc>
          <w:tcPr>
            <w:tcW w:w="31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18"/>
                <w:szCs w:val="18"/>
              </w:rPr>
            </w:pPr>
            <w:r>
              <w:rPr>
                <w:rFonts w:ascii="Times New Roman" w:eastAsia="宋体" w:cs="宋体" w:hAnsi="Times New Roman" w:hint="eastAsia"/>
                <w:kern w:val="0"/>
                <w:sz w:val="18"/>
                <w:szCs w:val="18"/>
              </w:rPr>
              <w:t>科目名称</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合计</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人员经费</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公用经费</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b/>
                <w:bCs/>
                <w:kern w:val="0"/>
                <w:sz w:val="18"/>
                <w:szCs w:val="18"/>
              </w:rPr>
            </w:pPr>
          </w:p>
        </w:tc>
        <w:tc>
          <w:tcPr>
            <w:tcW w:w="313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hint="eastAsia"/>
                <w:b/>
                <w:bCs/>
                <w:kern w:val="0"/>
                <w:sz w:val="18"/>
                <w:szCs w:val="18"/>
                <w:lang w:eastAsia="zh-CN"/>
              </w:rPr>
            </w:pPr>
            <w:r>
              <w:rPr>
                <w:rFonts w:ascii="Times New Roman" w:cs="宋体" w:hAnsi="Times New Roman" w:hint="eastAsia"/>
                <w:b/>
                <w:bCs/>
                <w:kern w:val="0"/>
                <w:sz w:val="18"/>
                <w:szCs w:val="18"/>
                <w:lang w:eastAsia="zh-CN"/>
              </w:rPr>
              <w:t>海拉尔海关</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kern w:val="0"/>
                <w:sz w:val="18"/>
                <w:szCs w:val="18"/>
                <w:lang w:val="en-US"/>
              </w:rPr>
            </w:pPr>
            <w:r>
              <w:rPr>
                <w:rFonts w:ascii="宋体" w:cs="宋体" w:hint="eastAsia"/>
                <w:b/>
                <w:i w:val="0"/>
                <w:color w:val="000000"/>
                <w:kern w:val="0"/>
                <w:sz w:val="16"/>
                <w:szCs w:val="16"/>
                <w:u w:val="none"/>
                <w:lang w:val="en-US" w:eastAsia="zh-CN"/>
              </w:rPr>
              <w:t>1556.25</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kern w:val="0"/>
                <w:sz w:val="18"/>
                <w:szCs w:val="18"/>
                <w:lang w:val="en-US"/>
              </w:rPr>
            </w:pPr>
            <w:r>
              <w:rPr>
                <w:rFonts w:ascii="宋体" w:cs="宋体" w:hint="eastAsia"/>
                <w:b/>
                <w:i w:val="0"/>
                <w:color w:val="000000"/>
                <w:kern w:val="0"/>
                <w:sz w:val="16"/>
                <w:szCs w:val="16"/>
                <w:u w:val="none"/>
                <w:lang w:val="en-US" w:eastAsia="zh-CN"/>
              </w:rPr>
              <w:t>1163.25</w:t>
            </w: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kern w:val="0"/>
                <w:sz w:val="18"/>
                <w:szCs w:val="18"/>
                <w:lang w:val="en-US" w:eastAsia="zh-CN"/>
              </w:rPr>
            </w:pPr>
            <w:r>
              <w:rPr>
                <w:rFonts w:ascii="宋体" w:cs="宋体" w:hint="eastAsia"/>
                <w:b/>
                <w:i w:val="0"/>
                <w:color w:val="000000"/>
                <w:kern w:val="0"/>
                <w:sz w:val="16"/>
                <w:szCs w:val="16"/>
                <w:u w:val="none"/>
                <w:lang w:val="en-US" w:eastAsia="zh-CN"/>
              </w:rPr>
              <w:t>393.00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301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工资福利支出</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kern w:val="0"/>
                <w:sz w:val="18"/>
                <w:szCs w:val="18"/>
                <w:lang w:val="en-US" w:eastAsia="zh-CN"/>
              </w:rPr>
            </w:pPr>
            <w:r>
              <w:rPr>
                <w:rFonts w:ascii="宋体" w:cs="宋体" w:hint="eastAsia"/>
                <w:b/>
                <w:i w:val="0"/>
                <w:color w:val="000000"/>
                <w:kern w:val="0"/>
                <w:sz w:val="16"/>
                <w:szCs w:val="16"/>
                <w:u w:val="none"/>
                <w:lang w:val="en-US" w:eastAsia="zh-CN"/>
              </w:rPr>
              <w:t>1136.90</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kern w:val="0"/>
                <w:sz w:val="18"/>
                <w:szCs w:val="18"/>
                <w:lang w:val="en-US" w:eastAsia="zh-CN"/>
              </w:rPr>
            </w:pPr>
            <w:r>
              <w:rPr>
                <w:rFonts w:ascii="宋体" w:cs="宋体" w:hint="eastAsia"/>
                <w:b/>
                <w:i w:val="0"/>
                <w:color w:val="000000"/>
                <w:kern w:val="0"/>
                <w:sz w:val="16"/>
                <w:szCs w:val="16"/>
                <w:u w:val="none"/>
                <w:lang w:val="en-US" w:eastAsia="zh-CN"/>
              </w:rPr>
              <w:t>1136.90</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30101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基本工资</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295.91</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295.91</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30102</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津贴补贴</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370.78</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370.78</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30103</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奖金</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193.18</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193.18</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30106</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伙食补助费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30107</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绩效工资</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30108</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机关事业单位基本养老保险缴费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83.75</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83.75</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30109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职业年金缴费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41.87</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41.87</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30110</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职工基本医疗保险缴费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42.54</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42.54</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30111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公务员医疗补助缴费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20.39</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20.39</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30112</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其他社会保障缴费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0.98</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0.98</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30113</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住房公积金</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87.00</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87.00</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30114</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医疗费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30199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其他工资福利支出</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0</w:t>
            </w:r>
            <w:r>
              <w:rPr>
                <w:rFonts w:ascii="Times New Roman" w:eastAsia="宋体" w:cs="Times New Roman" w:hAnsi="Times New Roman" w:hint="eastAsia"/>
                <w:kern w:val="0"/>
                <w:sz w:val="18"/>
                <w:szCs w:val="18"/>
              </w:rPr>
              <w:t>.5</w:t>
            </w:r>
            <w:r>
              <w:rPr>
                <w:rFonts w:ascii="Times New Roman" w:cs="Times New Roman" w:hAnsi="Times New Roman" w:hint="eastAsia"/>
                <w:kern w:val="0"/>
                <w:sz w:val="18"/>
                <w:szCs w:val="18"/>
                <w:lang w:val="en-US" w:eastAsia="zh-CN"/>
              </w:rPr>
              <w:t>0</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0</w:t>
            </w:r>
            <w:r>
              <w:rPr>
                <w:rFonts w:ascii="Times New Roman" w:eastAsia="宋体" w:cs="Times New Roman" w:hAnsi="Times New Roman" w:hint="eastAsia"/>
                <w:kern w:val="0"/>
                <w:sz w:val="18"/>
                <w:szCs w:val="18"/>
              </w:rPr>
              <w:t>.5</w:t>
            </w:r>
            <w:r>
              <w:rPr>
                <w:rFonts w:ascii="Times New Roman" w:cs="Times New Roman" w:hAnsi="Times New Roman" w:hint="eastAsia"/>
                <w:kern w:val="0"/>
                <w:sz w:val="18"/>
                <w:szCs w:val="18"/>
                <w:lang w:val="en-US" w:eastAsia="zh-CN"/>
              </w:rPr>
              <w:t>0</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302</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商品和服务支出</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kern w:val="0"/>
                <w:sz w:val="18"/>
                <w:szCs w:val="18"/>
              </w:rPr>
            </w:pPr>
            <w:r>
              <w:rPr>
                <w:rFonts w:ascii="宋体" w:cs="宋体" w:hint="eastAsia"/>
                <w:b/>
                <w:i w:val="0"/>
                <w:color w:val="000000"/>
                <w:kern w:val="0"/>
                <w:sz w:val="16"/>
                <w:szCs w:val="16"/>
                <w:u w:val="none"/>
                <w:lang w:val="en-US" w:eastAsia="zh-CN"/>
              </w:rPr>
              <w:t>384</w:t>
            </w:r>
            <w:r>
              <w:rPr>
                <w:rFonts w:ascii="宋体" w:eastAsia="宋体" w:cs="宋体" w:hint="eastAsia"/>
                <w:b/>
                <w:i w:val="0"/>
                <w:color w:val="000000"/>
                <w:kern w:val="0"/>
                <w:sz w:val="16"/>
                <w:szCs w:val="16"/>
                <w:u w:val="none"/>
                <w:lang w:val="en-US" w:eastAsia="zh-CN"/>
              </w:rPr>
              <w:t>.00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b/>
                <w:bCs/>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kern w:val="0"/>
                <w:sz w:val="18"/>
                <w:szCs w:val="18"/>
              </w:rPr>
            </w:pPr>
            <w:r>
              <w:rPr>
                <w:rFonts w:ascii="宋体" w:cs="宋体" w:hint="eastAsia"/>
                <w:b/>
                <w:i w:val="0"/>
                <w:color w:val="000000"/>
                <w:kern w:val="0"/>
                <w:sz w:val="16"/>
                <w:szCs w:val="16"/>
                <w:u w:val="none"/>
                <w:lang w:val="en-US" w:eastAsia="zh-CN"/>
              </w:rPr>
              <w:t>384</w:t>
            </w:r>
            <w:r>
              <w:rPr>
                <w:rFonts w:ascii="宋体" w:eastAsia="宋体" w:cs="宋体" w:hint="eastAsia"/>
                <w:b/>
                <w:i w:val="0"/>
                <w:color w:val="000000"/>
                <w:kern w:val="0"/>
                <w:sz w:val="16"/>
                <w:szCs w:val="16"/>
                <w:u w:val="none"/>
                <w:lang w:val="en-US" w:eastAsia="zh-CN"/>
              </w:rPr>
              <w:t>.00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办公费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eastAsia="宋体" w:cs="宋体" w:hint="eastAsia"/>
                <w:i w:val="0"/>
                <w:color w:val="000000"/>
                <w:kern w:val="0"/>
                <w:sz w:val="16"/>
                <w:szCs w:val="16"/>
                <w:u w:val="none"/>
                <w:lang w:val="en-US" w:eastAsia="zh-CN"/>
              </w:rPr>
              <w:t>10.00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rPr>
            </w:pPr>
            <w:r>
              <w:rPr>
                <w:rFonts w:ascii="宋体" w:eastAsia="宋体" w:cs="宋体" w:hint="eastAsia"/>
                <w:i w:val="0"/>
                <w:color w:val="000000"/>
                <w:kern w:val="0"/>
                <w:sz w:val="16"/>
                <w:szCs w:val="16"/>
                <w:u w:val="none"/>
                <w:lang w:val="en-US" w:eastAsia="zh-CN"/>
              </w:rPr>
              <w:t>10.00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30202</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印刷费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eastAsia="宋体" w:cs="宋体" w:hint="eastAsia"/>
                <w:i w:val="0"/>
                <w:color w:val="000000"/>
                <w:kern w:val="0"/>
                <w:sz w:val="16"/>
                <w:szCs w:val="16"/>
                <w:u w:val="none"/>
                <w:lang w:val="en-US" w:eastAsia="zh-CN"/>
              </w:rPr>
              <w:t>0.</w:t>
            </w:r>
            <w:r>
              <w:rPr>
                <w:rFonts w:ascii="宋体" w:cs="宋体" w:hint="eastAsia"/>
                <w:i w:val="0"/>
                <w:color w:val="000000"/>
                <w:kern w:val="0"/>
                <w:sz w:val="16"/>
                <w:szCs w:val="16"/>
                <w:u w:val="none"/>
                <w:lang w:val="en-US" w:eastAsia="zh-CN"/>
              </w:rPr>
              <w:t>7</w:t>
            </w:r>
            <w:r>
              <w:rPr>
                <w:rFonts w:ascii="宋体" w:eastAsia="宋体" w:cs="宋体" w:hint="eastAsia"/>
                <w:i w:val="0"/>
                <w:color w:val="000000"/>
                <w:kern w:val="0"/>
                <w:sz w:val="16"/>
                <w:szCs w:val="16"/>
                <w:u w:val="none"/>
                <w:lang w:val="en-US" w:eastAsia="zh-CN"/>
              </w:rPr>
              <w:t>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eastAsia="宋体" w:cs="宋体" w:hint="eastAsia"/>
                <w:i w:val="0"/>
                <w:color w:val="000000"/>
                <w:kern w:val="0"/>
                <w:sz w:val="16"/>
                <w:szCs w:val="16"/>
                <w:u w:val="none"/>
                <w:lang w:val="en-US" w:eastAsia="zh-CN"/>
              </w:rPr>
              <w:t>0.</w:t>
            </w:r>
            <w:r>
              <w:rPr>
                <w:rFonts w:ascii="宋体" w:cs="宋体" w:hint="eastAsia"/>
                <w:i w:val="0"/>
                <w:color w:val="000000"/>
                <w:kern w:val="0"/>
                <w:sz w:val="16"/>
                <w:szCs w:val="16"/>
                <w:u w:val="none"/>
                <w:lang w:val="en-US" w:eastAsia="zh-CN"/>
              </w:rPr>
              <w:t>7</w:t>
            </w:r>
            <w:r>
              <w:rPr>
                <w:rFonts w:ascii="宋体" w:eastAsia="宋体" w:cs="宋体" w:hint="eastAsia"/>
                <w:i w:val="0"/>
                <w:color w:val="000000"/>
                <w:kern w:val="0"/>
                <w:sz w:val="16"/>
                <w:szCs w:val="16"/>
                <w:u w:val="none"/>
                <w:lang w:val="en-US" w:eastAsia="zh-CN"/>
              </w:rPr>
              <w:t>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30203</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咨询费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30204</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手续费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30205</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水费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2.1</w:t>
            </w:r>
            <w:r>
              <w:rPr>
                <w:rFonts w:ascii="宋体" w:eastAsia="宋体" w:cs="宋体" w:hint="eastAsia"/>
                <w:i w:val="0"/>
                <w:color w:val="000000"/>
                <w:kern w:val="0"/>
                <w:sz w:val="16"/>
                <w:szCs w:val="16"/>
                <w:u w:val="none"/>
                <w:lang w:val="en-US" w:eastAsia="zh-CN"/>
              </w:rPr>
              <w:t>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2.1</w:t>
            </w:r>
            <w:r>
              <w:rPr>
                <w:rFonts w:ascii="宋体" w:eastAsia="宋体" w:cs="宋体" w:hint="eastAsia"/>
                <w:i w:val="0"/>
                <w:color w:val="000000"/>
                <w:kern w:val="0"/>
                <w:sz w:val="16"/>
                <w:szCs w:val="16"/>
                <w:u w:val="none"/>
                <w:lang w:val="en-US" w:eastAsia="zh-CN"/>
              </w:rPr>
              <w:t>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30206</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电费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8</w:t>
            </w:r>
            <w:r>
              <w:rPr>
                <w:rFonts w:ascii="宋体" w:eastAsia="宋体" w:cs="宋体" w:hint="eastAsia"/>
                <w:i w:val="0"/>
                <w:color w:val="000000"/>
                <w:kern w:val="0"/>
                <w:sz w:val="16"/>
                <w:szCs w:val="16"/>
                <w:u w:val="none"/>
                <w:lang w:val="en-US" w:eastAsia="zh-CN"/>
              </w:rPr>
              <w:t>.80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8</w:t>
            </w:r>
            <w:r>
              <w:rPr>
                <w:rFonts w:ascii="宋体" w:eastAsia="宋体" w:cs="宋体" w:hint="eastAsia"/>
                <w:i w:val="0"/>
                <w:color w:val="000000"/>
                <w:kern w:val="0"/>
                <w:sz w:val="16"/>
                <w:szCs w:val="16"/>
                <w:u w:val="none"/>
                <w:lang w:val="en-US" w:eastAsia="zh-CN"/>
              </w:rPr>
              <w:t>.80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30207</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邮电费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23.65</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23.65</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30208</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取暖费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56.38</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56.38</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30209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物业管理费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46.17</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46.17</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30211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差旅费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10.00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10.00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30212</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因公出国（境）费用</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30213</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维修（护）费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25.00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25.00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30214</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租赁费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15.50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15.50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30215</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会议费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30216</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培训费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0.10</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lang w:val="en-US"/>
              </w:rPr>
            </w:pPr>
            <w:r>
              <w:rPr>
                <w:rFonts w:cs="Times New Roman" w:hint="eastAsia"/>
                <w:kern w:val="0"/>
                <w:sz w:val="18"/>
                <w:szCs w:val="18"/>
                <w:lang w:val="en-US" w:eastAsia="zh-CN"/>
              </w:rPr>
              <w:t>0.10</w:t>
            </w:r>
          </w:p>
        </w:tc>
      </w:tr>
      <w:tr>
        <w:trPr>
          <w:trHeight w:val="366"/>
        </w:trPr>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30217</w:t>
            </w:r>
          </w:p>
        </w:tc>
        <w:tc>
          <w:tcPr>
            <w:tcW w:w="31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公务接待费</w:t>
            </w:r>
          </w:p>
        </w:tc>
        <w:tc>
          <w:tcPr>
            <w:tcW w:w="2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4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18"/>
                <w:szCs w:val="18"/>
              </w:rPr>
            </w:pPr>
            <w:r>
              <w:rPr>
                <w:rFonts w:ascii="Times New Roman" w:eastAsia="宋体" w:cs="宋体" w:hAnsi="Times New Roman" w:hint="eastAsia"/>
                <w:kern w:val="0"/>
                <w:sz w:val="18"/>
                <w:szCs w:val="18"/>
              </w:rPr>
              <w:t>部门预算支出经济分类科目</w:t>
            </w:r>
          </w:p>
        </w:tc>
        <w:tc>
          <w:tcPr>
            <w:tcW w:w="59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本年一般公共预算基本支出</w:t>
            </w:r>
          </w:p>
        </w:tc>
      </w:tr>
      <w:tr>
        <w:trPr>
          <w:trHeight w:val="366"/>
        </w:trPr>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18"/>
                <w:szCs w:val="18"/>
              </w:rPr>
            </w:pPr>
            <w:r>
              <w:rPr>
                <w:rFonts w:ascii="Times New Roman" w:eastAsia="宋体" w:cs="宋体" w:hAnsi="Times New Roman" w:hint="eastAsia"/>
                <w:kern w:val="0"/>
                <w:sz w:val="18"/>
                <w:szCs w:val="18"/>
              </w:rPr>
              <w:t>科目代码</w:t>
            </w:r>
          </w:p>
        </w:tc>
        <w:tc>
          <w:tcPr>
            <w:tcW w:w="3130"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18"/>
                <w:szCs w:val="18"/>
              </w:rPr>
            </w:pPr>
            <w:r>
              <w:rPr>
                <w:rFonts w:ascii="Times New Roman" w:eastAsia="宋体" w:cs="宋体" w:hAnsi="Times New Roman" w:hint="eastAsia"/>
                <w:kern w:val="0"/>
                <w:sz w:val="18"/>
                <w:szCs w:val="18"/>
              </w:rPr>
              <w:t>科目名称</w:t>
            </w:r>
          </w:p>
        </w:tc>
        <w:tc>
          <w:tcPr>
            <w:tcW w:w="2134"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合计</w:t>
            </w:r>
          </w:p>
        </w:tc>
        <w:tc>
          <w:tcPr>
            <w:tcW w:w="1992"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人员经费</w:t>
            </w:r>
          </w:p>
        </w:tc>
        <w:tc>
          <w:tcPr>
            <w:tcW w:w="1848"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ascii="Times New Roman" w:eastAsia="宋体" w:cs="Times New Roman" w:hAnsi="Times New Roman" w:hint="eastAsia"/>
                <w:kern w:val="0"/>
                <w:sz w:val="18"/>
                <w:szCs w:val="18"/>
              </w:rPr>
              <w:t>公用经费</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30218</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专用材料费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30224</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被装购置费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0.78</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0.78</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30225</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专用燃料费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30226</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劳务费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30.00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30.00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30227</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委托业务费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30228</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工会经费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16.90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16.90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30229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福利费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5.66</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5.66</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30231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公务用车运行维护费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9.10</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9.10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30239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其他交通费用</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74.14</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74.14</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30240</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税金及附加费用</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30299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其他商品和服务支出</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49.02</w:t>
            </w:r>
          </w:p>
        </w:tc>
        <w:tc>
          <w:tcPr>
            <w:tcW w:w="1992" w:type="dxa"/>
            <w:gridSpan w:val="2"/>
            <w:tcBorders>
              <w:top w:val="nil"/>
              <w:left w:val="nil"/>
              <w:bottom w:val="single" w:sz="4" w:space="0" w:color="auto"/>
              <w:right w:val="single" w:sz="4" w:space="0" w:color="auto"/>
            </w:tcBorders>
            <w:shd w:val="clear" w:color="auto" w:fill="auto"/>
            <w:noWrap/>
            <w:vAlign w:val="center"/>
          </w:tcPr>
          <w:p>
            <w:pPr>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49.02</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303</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对个人和家庭的补助</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kern w:val="0"/>
                <w:sz w:val="18"/>
                <w:szCs w:val="18"/>
                <w:lang w:val="en-US"/>
              </w:rPr>
            </w:pPr>
            <w:r>
              <w:rPr>
                <w:rFonts w:ascii="宋体" w:cs="宋体" w:hint="eastAsia"/>
                <w:b/>
                <w:i w:val="0"/>
                <w:color w:val="000000"/>
                <w:kern w:val="0"/>
                <w:sz w:val="16"/>
                <w:szCs w:val="16"/>
                <w:u w:val="none"/>
                <w:lang w:val="en-US" w:eastAsia="zh-CN"/>
              </w:rPr>
              <w:t>26.35</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kern w:val="0"/>
                <w:sz w:val="18"/>
                <w:szCs w:val="18"/>
                <w:lang w:val="en-US"/>
              </w:rPr>
            </w:pPr>
            <w:r>
              <w:rPr>
                <w:rFonts w:ascii="宋体" w:cs="宋体" w:hint="eastAsia"/>
                <w:b/>
                <w:i w:val="0"/>
                <w:color w:val="000000"/>
                <w:kern w:val="0"/>
                <w:sz w:val="16"/>
                <w:szCs w:val="16"/>
                <w:u w:val="none"/>
                <w:lang w:val="en-US" w:eastAsia="zh-CN"/>
              </w:rPr>
              <w:t>26.35</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30301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离休费</w:t>
            </w:r>
          </w:p>
        </w:tc>
        <w:tc>
          <w:tcPr>
            <w:tcW w:w="2134"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kern w:val="0"/>
                <w:sz w:val="18"/>
                <w:szCs w:val="18"/>
                <w:lang w:val="en-US" w:eastAsia="zh-CN"/>
              </w:rPr>
            </w:pPr>
            <w:r>
              <w:rPr>
                <w:rFonts w:ascii="宋体" w:cs="宋体" w:hint="eastAsia"/>
                <w:i w:val="0"/>
                <w:color w:val="000000"/>
                <w:kern w:val="0"/>
                <w:sz w:val="16"/>
                <w:szCs w:val="16"/>
                <w:u w:val="none"/>
                <w:lang w:val="en-US" w:eastAsia="zh-CN"/>
              </w:rPr>
              <w:t>15.63</w:t>
            </w:r>
          </w:p>
        </w:tc>
        <w:tc>
          <w:tcPr>
            <w:tcW w:w="1992" w:type="dxa"/>
            <w:gridSpan w:val="2"/>
            <w:tcBorders>
              <w:top w:val="nil"/>
              <w:left w:val="nil"/>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kern w:val="0"/>
                <w:sz w:val="18"/>
                <w:szCs w:val="18"/>
                <w:lang w:val="en-US"/>
              </w:rPr>
            </w:pPr>
            <w:r>
              <w:rPr>
                <w:rFonts w:ascii="宋体" w:cs="宋体" w:hint="eastAsia"/>
                <w:i w:val="0"/>
                <w:color w:val="000000"/>
                <w:kern w:val="0"/>
                <w:sz w:val="16"/>
                <w:szCs w:val="16"/>
                <w:u w:val="none"/>
                <w:lang w:val="en-US" w:eastAsia="zh-CN"/>
              </w:rPr>
              <w:t>15.63</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30302</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退休费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0.70</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0.70</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30303</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退职（役）费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30304</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抚恤金</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30305</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生活补助</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30307</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医疗费补助</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10</w:t>
            </w:r>
            <w:r>
              <w:rPr>
                <w:rFonts w:ascii="Times New Roman" w:cs="Times New Roman" w:hAnsi="Times New Roman" w:hint="eastAsia"/>
                <w:kern w:val="0"/>
                <w:sz w:val="18"/>
                <w:szCs w:val="18"/>
                <w:lang w:val="en-US" w:eastAsia="zh-CN"/>
              </w:rPr>
              <w:t>.00</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cs="Times New Roman" w:hint="eastAsia"/>
                <w:kern w:val="0"/>
                <w:sz w:val="18"/>
                <w:szCs w:val="18"/>
                <w:lang w:val="en-US" w:eastAsia="zh-CN"/>
              </w:rPr>
              <w:t>10</w:t>
            </w:r>
            <w:r>
              <w:rPr>
                <w:rFonts w:ascii="Times New Roman" w:cs="Times New Roman" w:hAnsi="Times New Roman" w:hint="eastAsia"/>
                <w:kern w:val="0"/>
                <w:sz w:val="18"/>
                <w:szCs w:val="18"/>
                <w:lang w:val="en-US" w:eastAsia="zh-CN"/>
              </w:rPr>
              <w:t>.00</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30308</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助学金</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30309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奖励金</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cs="Times New Roman" w:hint="eastAsia"/>
                <w:kern w:val="0"/>
                <w:sz w:val="18"/>
                <w:szCs w:val="18"/>
                <w:lang w:val="en-US" w:eastAsia="zh-CN"/>
              </w:rPr>
              <w:t>0.02</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r>
              <w:rPr>
                <w:rFonts w:cs="Times New Roman" w:hint="eastAsia"/>
                <w:kern w:val="0"/>
                <w:sz w:val="18"/>
                <w:szCs w:val="18"/>
                <w:lang w:val="en-US" w:eastAsia="zh-CN"/>
              </w:rPr>
              <w:t>0.02</w:t>
            </w: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30311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代缴社会保险费</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30399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其他对个人和家庭的补助</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lang w:val="en-US"/>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310</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资本性支出</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b/>
                <w:bCs/>
                <w:kern w:val="0"/>
                <w:sz w:val="18"/>
                <w:szCs w:val="18"/>
                <w:lang w:val="en-US" w:eastAsia="zh-CN"/>
              </w:rPr>
            </w:pPr>
            <w:r>
              <w:rPr>
                <w:rFonts w:cs="Times New Roman" w:hint="eastAsia"/>
                <w:b/>
                <w:bCs/>
                <w:kern w:val="0"/>
                <w:sz w:val="18"/>
                <w:szCs w:val="18"/>
                <w:lang w:val="en-US" w:eastAsia="zh-CN"/>
              </w:rPr>
              <w:t>9.00</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b/>
                <w:bCs/>
                <w:kern w:val="0"/>
                <w:sz w:val="18"/>
                <w:szCs w:val="18"/>
                <w:lang w:val="en-US"/>
              </w:rPr>
            </w:pPr>
            <w:r>
              <w:rPr>
                <w:rFonts w:cs="Times New Roman" w:hint="eastAsia"/>
                <w:b/>
                <w:bCs/>
                <w:kern w:val="0"/>
                <w:sz w:val="18"/>
                <w:szCs w:val="18"/>
                <w:lang w:val="en-US" w:eastAsia="zh-CN"/>
              </w:rPr>
              <w:t>9.00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31001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房屋建筑物购建</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31002</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办公设备购置</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hint="eastAsia"/>
                <w:kern w:val="0"/>
                <w:sz w:val="18"/>
                <w:szCs w:val="18"/>
                <w:lang w:val="en-US" w:eastAsia="zh-CN"/>
              </w:rPr>
            </w:pPr>
            <w:r>
              <w:rPr>
                <w:rFonts w:cs="Times New Roman" w:hint="eastAsia"/>
                <w:kern w:val="0"/>
                <w:sz w:val="18"/>
                <w:szCs w:val="18"/>
                <w:lang w:val="en-US" w:eastAsia="zh-CN"/>
              </w:rPr>
              <w:t>9.00</w:t>
            </w: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lang w:val="en-US"/>
              </w:rPr>
            </w:pPr>
            <w:r>
              <w:rPr>
                <w:rFonts w:cs="Times New Roman" w:hint="eastAsia"/>
                <w:kern w:val="0"/>
                <w:sz w:val="18"/>
                <w:szCs w:val="18"/>
                <w:lang w:val="en-US" w:eastAsia="zh-CN"/>
              </w:rPr>
              <w:t>9.00</w:t>
            </w: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31003</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专用设备购置</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31006</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大型修缮</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31007</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信息网络及软件购置更新</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31013</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公务用车购置</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31019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其他交通工具购置</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31021</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文物和陈列品购置</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31022</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无形资产购置</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99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31099</w:t>
            </w:r>
          </w:p>
        </w:tc>
        <w:tc>
          <w:tcPr>
            <w:tcW w:w="3130"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其他资本性支出</w:t>
            </w:r>
          </w:p>
        </w:tc>
        <w:tc>
          <w:tcPr>
            <w:tcW w:w="2134"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992" w:type="dxa"/>
            <w:gridSpan w:val="2"/>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c>
          <w:tcPr>
            <w:tcW w:w="184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Times New Roman" w:hAnsi="Times New Roman"/>
                <w:kern w:val="0"/>
                <w:sz w:val="18"/>
                <w:szCs w:val="18"/>
              </w:rPr>
            </w:pPr>
          </w:p>
        </w:tc>
      </w:tr>
      <w:tr>
        <w:trPr>
          <w:trHeight w:val="366"/>
        </w:trPr>
        <w:tc>
          <w:tcPr>
            <w:tcW w:w="4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b/>
                <w:bCs/>
                <w:kern w:val="0"/>
                <w:sz w:val="18"/>
                <w:szCs w:val="18"/>
              </w:rPr>
            </w:pPr>
            <w:r>
              <w:rPr>
                <w:rFonts w:ascii="Times New Roman" w:eastAsia="宋体" w:cs="宋体" w:hAnsi="Times New Roman" w:hint="eastAsia"/>
                <w:b/>
                <w:bCs/>
                <w:kern w:val="0"/>
                <w:sz w:val="18"/>
                <w:szCs w:val="18"/>
              </w:rPr>
              <w:t>合  计</w:t>
            </w:r>
          </w:p>
        </w:tc>
        <w:tc>
          <w:tcPr>
            <w:tcW w:w="2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kern w:val="0"/>
                <w:sz w:val="18"/>
                <w:szCs w:val="18"/>
                <w:lang w:val="en-US"/>
              </w:rPr>
            </w:pPr>
            <w:r>
              <w:rPr>
                <w:rFonts w:ascii="宋体" w:cs="宋体" w:hint="eastAsia"/>
                <w:b/>
                <w:i w:val="0"/>
                <w:color w:val="000000"/>
                <w:kern w:val="0"/>
                <w:sz w:val="16"/>
                <w:szCs w:val="16"/>
                <w:u w:val="none"/>
                <w:lang w:val="en-US" w:eastAsia="zh-CN"/>
              </w:rPr>
              <w:t>1556.25</w:t>
            </w:r>
          </w:p>
        </w:tc>
        <w:tc>
          <w:tcPr>
            <w:tcW w:w="1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b/>
                <w:bCs/>
                <w:kern w:val="0"/>
                <w:sz w:val="18"/>
                <w:szCs w:val="18"/>
                <w:lang w:val="en-US"/>
              </w:rPr>
            </w:pPr>
            <w:r>
              <w:rPr>
                <w:rFonts w:ascii="宋体" w:cs="宋体" w:hint="eastAsia"/>
                <w:b/>
                <w:i w:val="0"/>
                <w:color w:val="000000"/>
                <w:kern w:val="0"/>
                <w:sz w:val="16"/>
                <w:szCs w:val="16"/>
                <w:u w:val="none"/>
                <w:lang w:val="en-US" w:eastAsia="zh-CN"/>
              </w:rPr>
              <w:t>1163.25</w:t>
            </w:r>
          </w:p>
        </w:tc>
        <w:tc>
          <w:tcPr>
            <w:tcW w:w="1848"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widowControl/>
              <w:suppressLineNumbers w:val="0"/>
              <w:jc w:val="center"/>
              <w:textAlignment w:val="center"/>
              <w:rPr>
                <w:rFonts w:ascii="Times New Roman" w:eastAsia="宋体" w:cs="Times New Roman" w:hAnsi="Times New Roman" w:hint="eastAsia"/>
                <w:b/>
                <w:bCs/>
                <w:kern w:val="0"/>
                <w:sz w:val="18"/>
                <w:szCs w:val="18"/>
                <w:lang w:val="en-US" w:eastAsia="zh-CN"/>
              </w:rPr>
            </w:pPr>
            <w:r>
              <w:rPr>
                <w:rFonts w:ascii="宋体" w:cs="宋体" w:hint="eastAsia"/>
                <w:b/>
                <w:i w:val="0"/>
                <w:color w:val="000000"/>
                <w:kern w:val="0"/>
                <w:sz w:val="16"/>
                <w:szCs w:val="16"/>
                <w:u w:val="none"/>
                <w:lang w:val="en-US" w:eastAsia="zh-CN"/>
              </w:rPr>
              <w:t>393.00</w:t>
            </w:r>
          </w:p>
        </w:tc>
      </w:tr>
    </w:tbl>
    <w:p>
      <w:pPr>
        <w:pStyle w:val="2326"/>
        <w:rPr>
          <w:rFonts w:ascii="Times New Roman" w:eastAsia="宋体" w:hAnsi="Times New Roman"/>
          <w:highlight w:val="auto"/>
        </w:rPr>
      </w:pPr>
    </w:p>
    <w:p>
      <w:pPr>
        <w:pStyle w:val="2326"/>
        <w:rPr>
          <w:rFonts w:ascii="Times New Roman" w:eastAsia="宋体" w:hAnsi="Times New Roman"/>
          <w:highlight w:val="auto"/>
        </w:rPr>
        <w:sectPr>
          <w:pgSz w:w="11907" w:h="16841"/>
          <w:pgMar w:top="1427" w:right="638" w:bottom="0" w:left="451" w:header="0" w:footer="0" w:gutter="0"/>
          <w:docGrid w:linePitch="285" w:charSpace="0"/>
        </w:sectPr>
      </w:pPr>
    </w:p>
    <w:tbl>
      <w:tblPr>
        <w:jc w:val="center"/>
        <w:tblW w:w="13892"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eastAsia="宋体"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eastAsia="宋体" w:cs="宋体" w:hAnsi="Times New Roman"/>
                <w:kern w:val="0"/>
                <w:sz w:val="36"/>
                <w:szCs w:val="36"/>
              </w:rPr>
            </w:pPr>
            <w:r>
              <w:rPr>
                <w:rFonts w:ascii="Times New Roman" w:eastAsia="宋体"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eastAsia="宋体" w:cs="宋体" w:hAnsi="Times New Roman" w:hint="eastAsia"/>
                <w:kern w:val="0"/>
                <w:sz w:val="36"/>
                <w:szCs w:val="36"/>
                <w:lang w:val="en-US" w:eastAsia="zh-CN"/>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单位</w:t>
            </w:r>
            <w:r>
              <w:rPr>
                <w:rFonts w:ascii="Times New Roman" w:eastAsia="宋体" w:cs="宋体" w:hAnsi="Times New Roman" w:hint="eastAsia"/>
                <w:kern w:val="0"/>
                <w:sz w:val="20"/>
                <w:szCs w:val="20"/>
                <w:lang w:eastAsia="zh-CN"/>
              </w:rPr>
              <w:t>：</w:t>
            </w:r>
            <w:r>
              <w:rPr>
                <w:rFonts w:ascii="Times New Roman" w:eastAsia="宋体" w:cs="宋体" w:hAnsi="Times New Roman" w:hint="eastAsia"/>
                <w:kern w:val="0"/>
                <w:sz w:val="20"/>
                <w:szCs w:val="20"/>
              </w:rPr>
              <w:t>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202</w:t>
            </w:r>
            <w:r>
              <w:rPr>
                <w:rFonts w:cs="宋体" w:hint="eastAsia"/>
                <w:kern w:val="0"/>
                <w:sz w:val="20"/>
                <w:szCs w:val="20"/>
                <w:lang w:val="en-US" w:eastAsia="zh-CN"/>
              </w:rPr>
              <w:t>5</w:t>
            </w:r>
            <w:r>
              <w:rPr>
                <w:rFonts w:ascii="Times New Roman" w:eastAsia="宋体" w:cs="宋体" w:hAnsi="Times New Roman" w:hint="eastAsia"/>
                <w:kern w:val="0"/>
                <w:sz w:val="20"/>
                <w:szCs w:val="20"/>
              </w:rPr>
              <w:t>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30"/>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bl>
    <w:p>
      <w:pPr>
        <w:ind w:firstLineChars="400" w:firstLine="960"/>
        <w:rPr>
          <w:rFonts w:ascii="Times New Roman" w:eastAsia="方正仿宋_GBK" w:cs="Times New Roman" w:hAnsi="Times New Roman" w:hint="eastAsia"/>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方正仿宋_GBK" w:hAnsi="Times New Roman" w:hint="eastAsia"/>
          <w:spacing w:val="-1"/>
          <w:sz w:val="24"/>
          <w:szCs w:val="24"/>
          <w:lang w:eastAsia="zh-CN" w:bidi="ar-SA"/>
          <w:highlight w:val="auto"/>
        </w:rPr>
        <w:t>海拉尔海关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right"/>
        <w:rPr>
          <w:rFonts w:ascii="Times New Roman" w:eastAsia="黑体" w:cs="黑体" w:hAnsi="Times New Roman" w:hint="eastAsia"/>
          <w:snapToGrid w:val="0"/>
          <w:sz w:val="20"/>
          <w:szCs w:val="20"/>
          <w:lang w:bidi="ar-SA"/>
          <w:highlight w:val="auto"/>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eastAsia="宋体"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eastAsia="宋体" w:cs="宋体" w:hAnsi="Times New Roman"/>
                <w:kern w:val="0"/>
                <w:sz w:val="36"/>
                <w:szCs w:val="36"/>
              </w:rPr>
            </w:pPr>
            <w:r>
              <w:rPr>
                <w:rFonts w:ascii="Times New Roman" w:eastAsia="宋体"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18"/>
                <w:szCs w:val="18"/>
              </w:rPr>
            </w:pPr>
            <w:r>
              <w:rPr>
                <w:rFonts w:ascii="Times New Roman" w:eastAsia="宋体"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202</w:t>
            </w:r>
            <w:r>
              <w:rPr>
                <w:rFonts w:cs="宋体" w:hint="eastAsia"/>
                <w:color w:val="000000"/>
                <w:kern w:val="0"/>
                <w:sz w:val="20"/>
                <w:szCs w:val="20"/>
                <w:lang w:val="en-US" w:eastAsia="zh-CN"/>
              </w:rPr>
              <w:t>5</w:t>
            </w:r>
            <w:r>
              <w:rPr>
                <w:rFonts w:ascii="Times New Roman" w:eastAsia="宋体" w:cs="宋体" w:hAnsi="Times New Roman" w:hint="eastAsia"/>
                <w:color w:val="000000"/>
                <w:kern w:val="0"/>
                <w:sz w:val="20"/>
                <w:szCs w:val="20"/>
              </w:rPr>
              <w:t>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bl>
    <w:p>
      <w:pPr>
        <w:ind w:firstLineChars="400" w:firstLine="960"/>
        <w:rPr>
          <w:rFonts w:ascii="Times New Roman" w:eastAsia="方正仿宋_GBK" w:cs="Times New Roman" w:hAnsi="Times New Roman" w:hint="eastAsia"/>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lang w:eastAsia="zh-CN"/>
        </w:rPr>
        <w:t>海拉尔海关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jc w:val="center"/>
        <w:rPr>
          <w:rFonts w:ascii="Times New Roman" w:eastAsia="方正仿宋_GBK" w:hAnsi="Times New Roman"/>
          <w:sz w:val="32"/>
          <w:szCs w:val="32"/>
        </w:rPr>
      </w:pPr>
    </w:p>
    <w:p>
      <w:pPr>
        <w:wordWrap w:val="0"/>
        <w:jc w:val="right"/>
        <w:rPr>
          <w:rFonts w:ascii="Times New Roman" w:eastAsia="黑体" w:cs="黑体" w:hAnsi="Times New Roman" w:hint="eastAsia"/>
          <w:snapToGrid w:val="0"/>
          <w:sz w:val="20"/>
          <w:szCs w:val="20"/>
          <w:lang w:bidi="ar-SA"/>
          <w:highlight w:val="auto"/>
        </w:rPr>
      </w:pPr>
    </w:p>
    <w:p>
      <w:pPr>
        <w:wordWrap w:val="0"/>
        <w:jc w:val="right"/>
        <w:rPr>
          <w:rFonts w:ascii="Times New Roman" w:eastAsia="黑体" w:cs="黑体" w:hAnsi="Times New Roman" w:hint="eastAsia"/>
          <w:snapToGrid w:val="0"/>
          <w:sz w:val="20"/>
          <w:szCs w:val="20"/>
          <w:lang w:bidi="ar-SA"/>
          <w:highlight w:val="auto"/>
        </w:rPr>
      </w:pPr>
    </w:p>
    <w:p>
      <w:pPr>
        <w:wordWrap w:val="0"/>
        <w:jc w:val="right"/>
        <w:rPr>
          <w:rFonts w:ascii="Times New Roman" w:eastAsia="黑体" w:cs="黑体" w:hAnsi="Times New Roman" w:hint="eastAsia"/>
          <w:snapToGrid w:val="0"/>
          <w:sz w:val="20"/>
          <w:szCs w:val="20"/>
          <w:lang w:bidi="ar-SA"/>
          <w:highlight w:val="auto"/>
        </w:rPr>
      </w:pPr>
    </w:p>
    <w:p>
      <w:pPr>
        <w:wordWrap w:val="0"/>
        <w:jc w:val="right"/>
        <w:rPr>
          <w:rFonts w:ascii="Times New Roman" w:eastAsia="黑体" w:cs="黑体" w:hAnsi="Times New Roman" w:hint="eastAsia"/>
          <w:snapToGrid w:val="0"/>
          <w:sz w:val="20"/>
          <w:szCs w:val="20"/>
          <w:lang w:bidi="ar-SA"/>
          <w:highlight w:val="auto"/>
        </w:rPr>
      </w:pPr>
    </w:p>
    <w:p>
      <w:pPr>
        <w:wordWrap w:val="0"/>
        <w:jc w:val="right"/>
        <w:rPr>
          <w:rFonts w:ascii="Times New Roman" w:eastAsia="黑体" w:cs="黑体" w:hAnsi="Times New Roman" w:hint="eastAsia"/>
          <w:snapToGrid w:val="0"/>
          <w:sz w:val="20"/>
          <w:szCs w:val="20"/>
          <w:lang w:bidi="ar-SA"/>
          <w:highlight w:val="auto"/>
        </w:rPr>
      </w:pPr>
    </w:p>
    <w:p>
      <w:pPr>
        <w:wordWrap w:val="0"/>
        <w:jc w:val="right"/>
        <w:rPr>
          <w:rFonts w:ascii="Times New Roman" w:eastAsia="黑体" w:cs="黑体" w:hAnsi="Times New Roman" w:hint="eastAsia"/>
          <w:snapToGrid w:val="0"/>
          <w:sz w:val="20"/>
          <w:szCs w:val="20"/>
          <w:lang w:bidi="ar-SA"/>
          <w:highlight w:val="auto"/>
        </w:rPr>
      </w:pPr>
    </w:p>
    <w:p>
      <w:pPr>
        <w:wordWrap w:val="0"/>
        <w:jc w:val="right"/>
        <w:rPr>
          <w:rFonts w:ascii="Times New Roman" w:eastAsia="黑体" w:cs="黑体" w:hAnsi="Times New Roman" w:hint="eastAsia"/>
          <w:snapToGrid w:val="0"/>
          <w:sz w:val="20"/>
          <w:szCs w:val="20"/>
          <w:lang w:bidi="ar-SA"/>
          <w:highlight w:val="auto"/>
        </w:rPr>
      </w:pPr>
    </w:p>
    <w:p>
      <w:pPr>
        <w:wordWrap w:val="0"/>
        <w:jc w:val="right"/>
        <w:rPr>
          <w:rFonts w:ascii="Times New Roman" w:eastAsia="黑体" w:cs="黑体" w:hAnsi="Times New Roman" w:hint="eastAsia"/>
          <w:snapToGrid w:val="0"/>
          <w:sz w:val="20"/>
          <w:szCs w:val="20"/>
          <w:lang w:bidi="ar-SA"/>
          <w:highlight w:val="auto"/>
        </w:rPr>
      </w:pPr>
    </w:p>
    <w:p>
      <w:pPr>
        <w:wordWrap w:val="0"/>
        <w:jc w:val="right"/>
        <w:rPr>
          <w:rFonts w:ascii="Times New Roman" w:eastAsia="黑体" w:cs="黑体" w:hAnsi="Times New Roman" w:hint="eastAsia"/>
          <w:snapToGrid w:val="0"/>
          <w:sz w:val="20"/>
          <w:szCs w:val="20"/>
          <w:lang w:bidi="ar-SA"/>
          <w:highlight w:val="auto"/>
        </w:rPr>
      </w:pP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91"/>
        <w:gridCol w:w="1108"/>
        <w:gridCol w:w="1278"/>
        <w:gridCol w:w="1134"/>
        <w:gridCol w:w="1134"/>
        <w:gridCol w:w="1407"/>
        <w:gridCol w:w="991"/>
        <w:gridCol w:w="1272"/>
        <w:gridCol w:w="1175"/>
        <w:gridCol w:w="1134"/>
        <w:gridCol w:w="1134"/>
        <w:gridCol w:w="1445"/>
      </w:tblGrid>
      <w:tr>
        <w:trPr>
          <w:trHeight w:val="285"/>
        </w:trPr>
        <w:tc>
          <w:tcPr>
            <w:tcW w:w="991" w:type="dxa"/>
            <w:tcBorders>
              <w:top w:val="nil"/>
              <w:left w:val="nil"/>
              <w:bottom w:val="nil"/>
              <w:right w:val="nil"/>
            </w:tcBorders>
            <w:shd w:val="clear" w:color="auto" w:fill="auto"/>
            <w:noWrap/>
            <w:vAlign w:val="center"/>
          </w:tcPr>
          <w:p>
            <w:pPr>
              <w:widowControl/>
              <w:jc w:val="left"/>
              <w:rPr>
                <w:rFonts w:ascii="Times New Roman" w:eastAsia="宋体"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9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p>
        </w:tc>
      </w:tr>
    </w:tbl>
    <w:p>
      <w:pPr>
        <w:jc w:val="right"/>
        <w:rPr>
          <w:rFonts w:ascii="黑体" w:eastAsia="黑体" w:cs="黑体" w:hint="eastAsia"/>
          <w:snapToGrid w:val="0"/>
          <w:sz w:val="20"/>
          <w:szCs w:val="20"/>
          <w:lang w:bidi="ar-SA"/>
          <w:highlight w:val="auto"/>
        </w:rPr>
      </w:pPr>
    </w:p>
    <w:p>
      <w:pPr>
        <w:jc w:val="right"/>
        <w:rPr>
          <w:rFonts w:ascii="黑体" w:eastAsia="黑体" w:cs="黑体" w:hint="eastAsia"/>
          <w:snapToGrid w:val="0"/>
          <w:sz w:val="20"/>
          <w:szCs w:val="20"/>
          <w:lang w:bidi="ar-SA"/>
          <w:highlight w:val="auto"/>
        </w:rPr>
      </w:pPr>
    </w:p>
    <w:p>
      <w:pPr>
        <w:jc w:val="center"/>
        <w:rPr>
          <w:rFonts w:ascii="黑体" w:eastAsia="黑体" w:cs="黑体" w:hint="eastAsia"/>
          <w:sz w:val="20"/>
          <w:szCs w:val="20"/>
          <w:lang w:eastAsia="zh-CN" w:bidi="ar-SA"/>
          <w:highlight w:val="auto"/>
        </w:rPr>
      </w:pPr>
      <w:r>
        <w:rPr>
          <w:rFonts w:ascii="黑体" w:eastAsia="黑体" w:cs="黑体" w:hint="eastAsia"/>
          <w:snapToGrid w:val="0"/>
          <w:sz w:val="20"/>
          <w:szCs w:val="20"/>
          <w:lang w:val="en-US" w:eastAsia="zh-CN" w:bidi="ar-SA"/>
          <w:highlight w:val="auto"/>
        </w:rPr>
        <w:t xml:space="preserve">                                                                                                                        </w:t>
      </w:r>
      <w:r>
        <w:rPr>
          <w:rFonts w:ascii="黑体" w:eastAsia="黑体" w:cs="黑体" w:hint="eastAsia"/>
          <w:snapToGrid w:val="0"/>
          <w:sz w:val="20"/>
          <w:szCs w:val="20"/>
          <w:lang w:bidi="ar-SA"/>
          <w:highlight w:val="auto"/>
        </w:rPr>
        <w:t xml:space="preserve">部门公开表 </w:t>
      </w:r>
      <w:r>
        <w:rPr>
          <w:rFonts w:ascii="黑体" w:eastAsia="黑体" w:cs="黑体" w:hint="eastAsia"/>
          <w:snapToGrid w:val="0"/>
          <w:sz w:val="20"/>
          <w:szCs w:val="20"/>
          <w:lang w:val="en-US" w:eastAsia="zh-CN" w:bidi="ar-SA"/>
          <w:highlight w:val="auto"/>
        </w:rPr>
        <w:t>9</w:t>
      </w:r>
    </w:p>
    <w:p>
      <w:pPr>
        <w:jc w:val="center"/>
        <w:rPr>
          <w:rFonts w:cs="Microsoft JhengHei" w:hint="eastAsia"/>
          <w:b/>
          <w:snapToGrid w:val="0"/>
          <w:color w:val="000000"/>
          <w:sz w:val="36"/>
          <w:szCs w:val="36"/>
          <w:lang w:bidi="ar-SA"/>
          <w:highlight w:val="auto"/>
        </w:rPr>
      </w:pPr>
      <w:r>
        <w:rPr>
          <w:rFonts w:cs="Microsoft JhengHei" w:hint="eastAsia"/>
          <w:b/>
          <w:snapToGrid w:val="0"/>
          <w:color w:val="000000"/>
          <w:sz w:val="36"/>
          <w:szCs w:val="36"/>
          <w:lang w:bidi="ar-SA"/>
          <w:highlight w:val="auto"/>
        </w:rPr>
        <w:t>财政拨款预算“三公”经费支出表</w:t>
      </w:r>
    </w:p>
    <w:p>
      <w:pPr>
        <w:pStyle w:val="2327"/>
        <w:spacing w:before="65" w:line="180" w:lineRule="auto"/>
        <w:ind w:firstLineChars="6900" w:firstLine="13386"/>
        <w:jc w:val="both"/>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2327"/>
        <w:spacing w:line="20" w:lineRule="exact"/>
        <w:rPr>
          <w:rFonts w:ascii="Times New Roman" w:eastAsia="宋体" w:hAnsi="Times New Roman"/>
          <w:highlight w:val="auto"/>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329"/>
        <w:gridCol w:w="1822"/>
        <w:gridCol w:w="2100"/>
        <w:gridCol w:w="2727"/>
        <w:gridCol w:w="2139"/>
      </w:tblGrid>
      <w:tr>
        <w:trPr>
          <w:trHeight w:val="671"/>
        </w:trPr>
        <w:tc>
          <w:tcPr>
            <w:tcW w:w="13293" w:type="dxa"/>
            <w:gridSpan w:val="6"/>
            <w:noWrap/>
            <w:vAlign w:val="center"/>
          </w:tcPr>
          <w:p>
            <w:pPr>
              <w:pStyle w:val="2327"/>
              <w:spacing w:before="213" w:line="180" w:lineRule="auto"/>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2"/>
                <w:sz w:val="22"/>
                <w:szCs w:val="22"/>
                <w:lang w:bidi="ar-SA"/>
                <w:highlight w:val="auto"/>
              </w:rPr>
              <w:t>202</w:t>
            </w:r>
            <w:r>
              <w:rPr>
                <w:rFonts w:ascii="Times New Roman" w:eastAsia="宋体" w:cs="Times New Roman" w:hAnsi="Times New Roman" w:hint="eastAsia"/>
                <w:spacing w:val="-2"/>
                <w:sz w:val="22"/>
                <w:szCs w:val="22"/>
                <w:lang w:val="en-US" w:eastAsia="zh-CN" w:bidi="ar-SA"/>
                <w:highlight w:val="auto"/>
              </w:rPr>
              <w:t>5</w:t>
            </w:r>
            <w:r>
              <w:rPr>
                <w:rFonts w:ascii="Times New Roman" w:eastAsia="宋体" w:cs="Times New Roman" w:hAnsi="Times New Roman"/>
                <w:spacing w:val="-2"/>
                <w:sz w:val="22"/>
                <w:szCs w:val="22"/>
                <w:lang w:bidi="ar-SA"/>
                <w:highlight w:val="auto"/>
              </w:rPr>
              <w:t>年预算数</w:t>
            </w:r>
          </w:p>
        </w:tc>
      </w:tr>
      <w:tr>
        <w:trPr>
          <w:trHeight w:val="872"/>
        </w:trPr>
        <w:tc>
          <w:tcPr>
            <w:tcW w:w="2176" w:type="dxa"/>
            <w:vMerge w:val="restart"/>
            <w:noWrap/>
            <w:vAlign w:val="center"/>
          </w:tcPr>
          <w:p>
            <w:pPr>
              <w:pStyle w:val="2327"/>
              <w:spacing w:line="295" w:lineRule="auto"/>
              <w:jc w:val="center"/>
              <w:rPr>
                <w:rFonts w:ascii="Times New Roman" w:eastAsia="宋体" w:cs="Times New Roman" w:hAnsi="Times New Roman"/>
                <w:sz w:val="22"/>
                <w:szCs w:val="22"/>
                <w:lang w:bidi="ar-SA"/>
                <w:highlight w:val="auto"/>
              </w:rPr>
            </w:pPr>
          </w:p>
          <w:p>
            <w:pPr>
              <w:pStyle w:val="2327"/>
              <w:spacing w:line="295" w:lineRule="auto"/>
              <w:jc w:val="center"/>
              <w:rPr>
                <w:rFonts w:ascii="Times New Roman" w:eastAsia="宋体" w:cs="Times New Roman" w:hAnsi="Times New Roman"/>
                <w:sz w:val="22"/>
                <w:szCs w:val="22"/>
                <w:lang w:bidi="ar-SA"/>
                <w:highlight w:val="auto"/>
              </w:rPr>
            </w:pPr>
          </w:p>
          <w:p>
            <w:pPr>
              <w:pStyle w:val="2327"/>
              <w:spacing w:before="90" w:line="180" w:lineRule="auto"/>
              <w:ind w:firstLine="333"/>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2"/>
                <w:sz w:val="22"/>
                <w:szCs w:val="22"/>
                <w:lang w:bidi="ar-SA"/>
                <w:highlight w:val="auto"/>
              </w:rPr>
              <w:t>合计</w:t>
            </w:r>
          </w:p>
        </w:tc>
        <w:tc>
          <w:tcPr>
            <w:tcW w:w="2329" w:type="dxa"/>
            <w:vMerge w:val="restart"/>
            <w:noWrap/>
            <w:vAlign w:val="center"/>
          </w:tcPr>
          <w:p>
            <w:pPr>
              <w:pStyle w:val="2327"/>
              <w:spacing w:line="439" w:lineRule="auto"/>
              <w:jc w:val="center"/>
              <w:rPr>
                <w:rFonts w:ascii="Times New Roman" w:eastAsia="宋体" w:cs="Times New Roman" w:hAnsi="Times New Roman"/>
                <w:sz w:val="22"/>
                <w:szCs w:val="22"/>
                <w:lang w:bidi="ar-SA"/>
                <w:highlight w:val="auto"/>
              </w:rPr>
            </w:pPr>
          </w:p>
          <w:p>
            <w:pPr>
              <w:pStyle w:val="2327"/>
              <w:spacing w:before="91" w:line="204" w:lineRule="auto"/>
              <w:ind w:left="227" w:right="230" w:firstLine="33"/>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6"/>
                <w:sz w:val="22"/>
                <w:szCs w:val="22"/>
                <w:lang w:bidi="ar-SA"/>
                <w:highlight w:val="auto"/>
              </w:rPr>
              <w:t>因公出国</w:t>
            </w:r>
            <w:r>
              <w:rPr>
                <w:rFonts w:ascii="Times New Roman" w:eastAsia="宋体" w:cs="Times New Roman" w:hAnsi="Times New Roman"/>
                <w:spacing w:val="2"/>
                <w:w w:val="101"/>
                <w:sz w:val="22"/>
                <w:szCs w:val="22"/>
                <w:lang w:bidi="ar-SA"/>
                <w:highlight w:val="auto"/>
              </w:rPr>
              <w:t xml:space="preserve"> </w:t>
            </w:r>
            <w:r>
              <w:rPr>
                <w:rFonts w:ascii="Times New Roman" w:eastAsia="宋体" w:cs="Times New Roman" w:hAnsi="Times New Roman"/>
                <w:spacing w:val="2"/>
                <w:sz w:val="22"/>
                <w:szCs w:val="22"/>
                <w:lang w:bidi="ar-SA"/>
                <w:highlight w:val="auto"/>
              </w:rPr>
              <w:t>（境）费</w:t>
            </w:r>
          </w:p>
        </w:tc>
        <w:tc>
          <w:tcPr>
            <w:tcW w:w="6649" w:type="dxa"/>
            <w:gridSpan w:val="3"/>
            <w:noWrap/>
            <w:vAlign w:val="center"/>
          </w:tcPr>
          <w:p>
            <w:pPr>
              <w:pStyle w:val="2327"/>
              <w:spacing w:before="312" w:line="180" w:lineRule="auto"/>
              <w:ind w:firstLine="809"/>
              <w:jc w:val="center"/>
              <w:rPr>
                <w:rFonts w:ascii="Times New Roman" w:eastAsia="宋体" w:cs="Times New Roman" w:hAnsi="Times New Roman"/>
                <w:sz w:val="22"/>
                <w:szCs w:val="22"/>
                <w:lang w:bidi="ar-SA"/>
                <w:highlight w:val="auto"/>
              </w:rPr>
            </w:pPr>
            <w:r>
              <w:rPr>
                <w:rFonts w:ascii="Times New Roman" w:eastAsia="宋体" w:cs="Times New Roman" w:hAnsi="Times New Roman"/>
                <w:sz w:val="22"/>
                <w:szCs w:val="22"/>
                <w:lang w:bidi="ar-SA"/>
                <w:highlight w:val="auto"/>
              </w:rPr>
              <w:t>公务用车购置及运行费</w:t>
            </w:r>
          </w:p>
        </w:tc>
        <w:tc>
          <w:tcPr>
            <w:tcW w:w="2139" w:type="dxa"/>
            <w:vMerge w:val="restart"/>
            <w:noWrap/>
            <w:vAlign w:val="center"/>
          </w:tcPr>
          <w:p>
            <w:pPr>
              <w:pStyle w:val="2327"/>
              <w:spacing w:line="295" w:lineRule="auto"/>
              <w:jc w:val="center"/>
              <w:rPr>
                <w:rFonts w:ascii="Times New Roman" w:eastAsia="宋体" w:cs="Times New Roman" w:hAnsi="Times New Roman"/>
                <w:sz w:val="22"/>
                <w:szCs w:val="22"/>
                <w:lang w:bidi="ar-SA"/>
                <w:highlight w:val="auto"/>
              </w:rPr>
            </w:pPr>
          </w:p>
          <w:p>
            <w:pPr>
              <w:pStyle w:val="2327"/>
              <w:spacing w:line="295" w:lineRule="auto"/>
              <w:jc w:val="center"/>
              <w:rPr>
                <w:rFonts w:ascii="Times New Roman" w:eastAsia="宋体" w:cs="Times New Roman" w:hAnsi="Times New Roman"/>
                <w:sz w:val="22"/>
                <w:szCs w:val="22"/>
                <w:lang w:bidi="ar-SA"/>
                <w:highlight w:val="auto"/>
              </w:rPr>
            </w:pPr>
          </w:p>
          <w:p>
            <w:pPr>
              <w:pStyle w:val="2327"/>
              <w:spacing w:before="90" w:line="180" w:lineRule="auto"/>
              <w:ind w:firstLine="196"/>
              <w:jc w:val="center"/>
              <w:rPr>
                <w:rFonts w:ascii="Times New Roman" w:eastAsia="宋体" w:cs="Times New Roman" w:hAnsi="Times New Roman"/>
                <w:sz w:val="22"/>
                <w:szCs w:val="22"/>
                <w:lang w:bidi="ar-SA"/>
                <w:highlight w:val="auto"/>
              </w:rPr>
            </w:pPr>
            <w:r>
              <w:rPr>
                <w:rFonts w:ascii="Times New Roman" w:eastAsia="宋体" w:cs="Times New Roman" w:hAnsi="Times New Roman"/>
                <w:sz w:val="22"/>
                <w:szCs w:val="22"/>
                <w:lang w:bidi="ar-SA"/>
                <w:highlight w:val="auto"/>
              </w:rPr>
              <w:t>公务接待费</w:t>
            </w:r>
          </w:p>
        </w:tc>
      </w:tr>
      <w:tr>
        <w:trPr>
          <w:trHeight w:val="737"/>
        </w:trPr>
        <w:tc>
          <w:tcPr>
            <w:tcW w:w="2176" w:type="dxa"/>
            <w:vMerge/>
            <w:noWrap/>
            <w:vAlign w:val="center"/>
          </w:tcPr>
          <w:p/>
        </w:tc>
        <w:tc>
          <w:tcPr>
            <w:tcW w:w="2329" w:type="dxa"/>
            <w:vMerge/>
            <w:noWrap/>
            <w:vAlign w:val="center"/>
          </w:tcPr>
          <w:p/>
        </w:tc>
        <w:tc>
          <w:tcPr>
            <w:tcW w:w="1822" w:type="dxa"/>
            <w:noWrap/>
            <w:vAlign w:val="center"/>
          </w:tcPr>
          <w:p>
            <w:pPr>
              <w:pStyle w:val="2327"/>
              <w:spacing w:before="246" w:line="180" w:lineRule="auto"/>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2"/>
                <w:sz w:val="22"/>
                <w:szCs w:val="22"/>
                <w:lang w:bidi="ar-SA"/>
                <w:highlight w:val="auto"/>
              </w:rPr>
              <w:t>小计</w:t>
            </w:r>
          </w:p>
        </w:tc>
        <w:tc>
          <w:tcPr>
            <w:tcW w:w="2100" w:type="dxa"/>
            <w:noWrap/>
            <w:vAlign w:val="center"/>
          </w:tcPr>
          <w:p>
            <w:pPr>
              <w:pStyle w:val="2327"/>
              <w:spacing w:before="92" w:line="204" w:lineRule="auto"/>
              <w:ind w:left="345" w:right="229" w:hanging="105"/>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1"/>
                <w:sz w:val="22"/>
                <w:szCs w:val="22"/>
                <w:lang w:bidi="ar-SA"/>
                <w:highlight w:val="auto"/>
              </w:rPr>
              <w:t>公务用车购置费</w:t>
            </w:r>
          </w:p>
        </w:tc>
        <w:tc>
          <w:tcPr>
            <w:tcW w:w="2727" w:type="dxa"/>
            <w:noWrap/>
            <w:vAlign w:val="center"/>
          </w:tcPr>
          <w:p>
            <w:pPr>
              <w:pStyle w:val="2327"/>
              <w:spacing w:before="92" w:line="204" w:lineRule="auto"/>
              <w:ind w:left="349" w:right="228" w:hanging="108"/>
              <w:jc w:val="center"/>
              <w:rPr>
                <w:rFonts w:ascii="Times New Roman" w:eastAsia="宋体" w:cs="Times New Roman" w:hAnsi="Times New Roman"/>
                <w:sz w:val="22"/>
                <w:szCs w:val="22"/>
                <w:lang w:bidi="ar-SA"/>
                <w:highlight w:val="auto"/>
              </w:rPr>
            </w:pPr>
            <w:r>
              <w:rPr>
                <w:rFonts w:ascii="Times New Roman" w:eastAsia="宋体" w:cs="Times New Roman" w:hAnsi="Times New Roman"/>
                <w:spacing w:val="-1"/>
                <w:sz w:val="22"/>
                <w:szCs w:val="22"/>
                <w:lang w:bidi="ar-SA"/>
                <w:highlight w:val="auto"/>
              </w:rPr>
              <w:t>公务用车</w:t>
            </w:r>
            <w:r>
              <w:rPr>
                <w:rFonts w:ascii="Times New Roman" w:eastAsia="宋体" w:cs="Times New Roman" w:hAnsi="Times New Roman"/>
                <w:spacing w:val="-2"/>
                <w:sz w:val="22"/>
                <w:szCs w:val="22"/>
                <w:lang w:bidi="ar-SA"/>
                <w:highlight w:val="auto"/>
              </w:rPr>
              <w:t>运行费</w:t>
            </w:r>
          </w:p>
        </w:tc>
        <w:tc>
          <w:tcPr>
            <w:tcW w:w="2139" w:type="dxa"/>
            <w:vMerge/>
            <w:noWrap/>
            <w:vAlign w:val="center"/>
          </w:tcPr>
          <w:p/>
        </w:tc>
      </w:tr>
      <w:tr>
        <w:trPr>
          <w:trHeight w:val="1345"/>
        </w:trPr>
        <w:tc>
          <w:tcPr>
            <w:tcW w:w="2176" w:type="dxa"/>
            <w:noWrap/>
            <w:vAlign w:val="center"/>
          </w:tcPr>
          <w:p>
            <w:pPr>
              <w:keepNext w:val="0"/>
              <w:keepLines w:val="0"/>
              <w:widowControl/>
              <w:suppressLineNumbers w:val="0"/>
              <w:jc w:val="center"/>
              <w:textAlignment w:val="center"/>
              <w:rPr>
                <w:rFonts w:ascii="Times New Roman" w:eastAsia="宋体" w:cs="Times New Roman" w:hAnsi="Times New Roman"/>
                <w:sz w:val="22"/>
                <w:szCs w:val="22"/>
                <w:lang w:val="en-US" w:bidi="ar-SA"/>
                <w:highlight w:val="auto"/>
              </w:rPr>
            </w:pPr>
            <w:r>
              <w:rPr>
                <w:rFonts w:ascii="微软雅黑" w:eastAsia="微软雅黑" w:cs="微软雅黑" w:hint="eastAsia"/>
                <w:i w:val="0"/>
                <w:color w:val="000000"/>
                <w:kern w:val="0"/>
                <w:sz w:val="20"/>
                <w:szCs w:val="20"/>
                <w:u w:val="none"/>
                <w:lang w:val="en-US" w:eastAsia="zh-CN"/>
              </w:rPr>
              <w:t>71.00</w:t>
            </w:r>
          </w:p>
        </w:tc>
        <w:tc>
          <w:tcPr>
            <w:tcW w:w="2329" w:type="dxa"/>
            <w:noWrap/>
            <w:vAlign w:val="center"/>
          </w:tcPr>
          <w:p>
            <w:pPr>
              <w:jc w:val="center"/>
              <w:rPr>
                <w:rFonts w:ascii="Times New Roman" w:eastAsia="宋体" w:cs="Times New Roman" w:hAnsi="Times New Roman"/>
                <w:sz w:val="22"/>
                <w:szCs w:val="22"/>
                <w:lang w:bidi="ar-SA"/>
                <w:highlight w:val="auto"/>
              </w:rPr>
            </w:pPr>
          </w:p>
        </w:tc>
        <w:tc>
          <w:tcPr>
            <w:tcW w:w="1822" w:type="dxa"/>
            <w:noWrap/>
            <w:vAlign w:val="center"/>
          </w:tcPr>
          <w:p>
            <w:pPr>
              <w:keepNext w:val="0"/>
              <w:keepLines w:val="0"/>
              <w:widowControl/>
              <w:suppressLineNumbers w:val="0"/>
              <w:jc w:val="center"/>
              <w:textAlignment w:val="center"/>
              <w:rPr>
                <w:rFonts w:ascii="Times New Roman" w:eastAsia="宋体" w:cs="Times New Roman" w:hAnsi="Times New Roman"/>
                <w:sz w:val="22"/>
                <w:szCs w:val="22"/>
                <w:lang w:val="en-US" w:bidi="ar-SA"/>
                <w:highlight w:val="auto"/>
              </w:rPr>
            </w:pPr>
            <w:r>
              <w:rPr>
                <w:rFonts w:ascii="Arial" w:cs="Arial" w:hAnsi="Arial" w:hint="eastAsia"/>
                <w:i w:val="0"/>
                <w:color w:val="000000"/>
                <w:kern w:val="0"/>
                <w:sz w:val="20"/>
                <w:szCs w:val="20"/>
                <w:u w:val="none"/>
                <w:lang w:val="en-US" w:eastAsia="zh-CN"/>
              </w:rPr>
              <w:t>71.00</w:t>
            </w:r>
          </w:p>
        </w:tc>
        <w:tc>
          <w:tcPr>
            <w:tcW w:w="2100" w:type="dxa"/>
            <w:noWrap/>
            <w:vAlign w:val="center"/>
          </w:tcPr>
          <w:p>
            <w:pPr>
              <w:keepNext w:val="0"/>
              <w:keepLines w:val="0"/>
              <w:widowControl/>
              <w:suppressLineNumbers w:val="0"/>
              <w:jc w:val="center"/>
              <w:textAlignment w:val="center"/>
              <w:rPr>
                <w:rFonts w:ascii="Times New Roman" w:eastAsia="宋体" w:cs="Times New Roman" w:hAnsi="Times New Roman"/>
                <w:sz w:val="22"/>
                <w:szCs w:val="22"/>
                <w:lang w:val="en-US" w:bidi="ar-SA"/>
                <w:highlight w:val="auto"/>
              </w:rPr>
            </w:pPr>
            <w:r>
              <w:rPr>
                <w:rFonts w:ascii="Arial" w:cs="Arial" w:hAnsi="Arial" w:hint="eastAsia"/>
                <w:i w:val="0"/>
                <w:color w:val="000000"/>
                <w:kern w:val="0"/>
                <w:sz w:val="20"/>
                <w:szCs w:val="20"/>
                <w:u w:val="none"/>
                <w:lang w:val="en-US" w:eastAsia="zh-CN"/>
              </w:rPr>
              <w:t>49.50</w:t>
            </w:r>
          </w:p>
        </w:tc>
        <w:tc>
          <w:tcPr>
            <w:tcW w:w="2727" w:type="dxa"/>
            <w:noWrap/>
            <w:vAlign w:val="center"/>
          </w:tcPr>
          <w:p>
            <w:pPr>
              <w:keepNext w:val="0"/>
              <w:keepLines w:val="0"/>
              <w:widowControl/>
              <w:suppressLineNumbers w:val="0"/>
              <w:jc w:val="center"/>
              <w:textAlignment w:val="center"/>
              <w:rPr>
                <w:rFonts w:ascii="Times New Roman" w:eastAsia="宋体" w:cs="Times New Roman" w:hAnsi="Times New Roman"/>
                <w:sz w:val="22"/>
                <w:szCs w:val="22"/>
                <w:lang w:val="en-US" w:bidi="ar-SA"/>
                <w:highlight w:val="auto"/>
              </w:rPr>
            </w:pPr>
            <w:r>
              <w:rPr>
                <w:rFonts w:ascii="微软雅黑" w:eastAsia="微软雅黑" w:cs="微软雅黑" w:hint="eastAsia"/>
                <w:i w:val="0"/>
                <w:color w:val="000000"/>
                <w:kern w:val="0"/>
                <w:sz w:val="20"/>
                <w:szCs w:val="20"/>
                <w:u w:val="none"/>
                <w:lang w:val="en-US" w:eastAsia="zh-CN"/>
              </w:rPr>
              <w:t>21.50</w:t>
            </w:r>
          </w:p>
        </w:tc>
        <w:tc>
          <w:tcPr>
            <w:tcW w:w="2139" w:type="dxa"/>
            <w:noWrap/>
            <w:vAlign w:val="center"/>
          </w:tcPr>
          <w:p>
            <w:pPr>
              <w:keepNext w:val="0"/>
              <w:keepLines w:val="0"/>
              <w:widowControl/>
              <w:suppressLineNumbers w:val="0"/>
              <w:jc w:val="center"/>
              <w:textAlignment w:val="center"/>
              <w:rPr>
                <w:rFonts w:ascii="Times New Roman" w:eastAsia="宋体" w:cs="Times New Roman" w:hAnsi="Times New Roman"/>
                <w:sz w:val="22"/>
                <w:szCs w:val="22"/>
                <w:lang w:bidi="ar-SA"/>
                <w:highlight w:val="auto"/>
              </w:rPr>
            </w:pPr>
          </w:p>
        </w:tc>
      </w:tr>
    </w:tbl>
    <w:p>
      <w:pPr>
        <w:pStyle w:val="2326"/>
        <w:rPr>
          <w:rFonts w:ascii="Times New Roman" w:eastAsia="宋体" w:hAnsi="Times New Roman"/>
          <w:highlight w:val="auto"/>
        </w:rPr>
        <w:sectPr>
          <w:type w:val="continuous"/>
          <w:pgSz w:w="16841" w:h="11907" w:orient="landscape"/>
          <w:pgMar w:top="1431" w:right="638" w:bottom="0" w:left="451" w:header="0" w:footer="0" w:gutter="0"/>
          <w:docGrid w:linePitch="285" w:charSpace="0"/>
        </w:sect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pStyle w:val="2335"/>
        <w:spacing w:before="94" w:line="180" w:lineRule="auto"/>
        <w:ind w:firstLineChars="663" w:firstLine="1512"/>
        <w:rPr>
          <w:rFonts w:ascii="Times New Roman" w:eastAsia="方正仿宋_GBK" w:cs="方正仿宋_GBK" w:hAnsi="Times New Roman" w:hint="eastAsia"/>
          <w:spacing w:val="-6"/>
          <w:sz w:val="24"/>
          <w:szCs w:val="24"/>
          <w:lang w:bidi="ar-SA"/>
          <w:highlight w:val="auto"/>
        </w:rPr>
      </w:pPr>
    </w:p>
    <w:p>
      <w:pPr>
        <w:autoSpaceDN w:val="0"/>
        <w:ind w:right="875"/>
        <w:rPr>
          <w:rFonts w:ascii="Times New Roman" w:hAnsi="Times New Roman"/>
          <w:kern w:val="0"/>
          <w:sz w:val="28"/>
          <w:szCs w:val="28"/>
          <w:highlight w:val="auto"/>
        </w:rPr>
      </w:pPr>
    </w:p>
    <w:p>
      <w:pPr>
        <w:jc w:val="right"/>
        <w:rPr>
          <w:rFonts w:ascii="Times New Roman" w:hAnsi="Times New Roman"/>
          <w:sz w:val="24"/>
          <w:highlight w:val="auto"/>
        </w:rPr>
      </w:pPr>
    </w:p>
    <w:p>
      <w:pPr>
        <w:jc w:val="right"/>
        <w:rPr>
          <w:rFonts w:ascii="Times New Roman" w:hAnsi="Times New Roman"/>
          <w:sz w:val="24"/>
          <w:highlight w:val="auto"/>
        </w:rPr>
      </w:pPr>
    </w:p>
    <w:p>
      <w:pPr>
        <w:jc w:val="both"/>
        <w:rPr>
          <w:rFonts w:ascii="Times New Roman" w:hAnsi="Times New Roman"/>
          <w:sz w:val="24"/>
          <w:highlight w:val="auto"/>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hint="eastAsia"/>
          <w:b/>
          <w:sz w:val="80"/>
          <w:szCs w:val="80"/>
          <w:lang w:eastAsia="zh-CN"/>
        </w:rPr>
        <w:t>海拉尔</w:t>
      </w:r>
      <w:r>
        <w:rPr>
          <w:rFonts w:ascii="Times New Roman" w:hAnsi="Times New Roman" w:hint="eastAsia"/>
          <w:b/>
          <w:sz w:val="80"/>
          <w:szCs w:val="80"/>
        </w:rPr>
        <w:t>海关</w:t>
      </w:r>
      <w:r>
        <w:rPr>
          <w:rFonts w:ascii="Times New Roman" w:hAnsi="Times New Roman"/>
          <w:b/>
          <w:sz w:val="80"/>
          <w:szCs w:val="80"/>
        </w:rPr>
        <w:t>202</w:t>
      </w:r>
      <w:r>
        <w:rPr>
          <w:rFonts w:hint="eastAsia"/>
          <w:b/>
          <w:sz w:val="80"/>
          <w:szCs w:val="80"/>
          <w:lang w:val="en-US" w:eastAsia="zh-CN"/>
        </w:rPr>
        <w:t>5</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31"/>
        <w:spacing w:line="560" w:lineRule="exact"/>
        <w:jc w:val="center"/>
        <w:rPr>
          <w:rFonts w:ascii="Times New Roman" w:hAnsi="Times New Roman"/>
          <w:b/>
          <w:sz w:val="84"/>
          <w:szCs w:val="84"/>
          <w:highlight w:val="auto"/>
        </w:rPr>
      </w:pPr>
    </w:p>
    <w:p>
      <w:pPr>
        <w:jc w:val="center"/>
        <w:rPr>
          <w:rFonts w:ascii="Times New Roman" w:hAnsi="Times New Roman"/>
          <w:b/>
          <w:sz w:val="84"/>
          <w:szCs w:val="84"/>
          <w:highlight w:val="auto"/>
        </w:rPr>
      </w:pPr>
    </w:p>
    <w:p>
      <w:pPr>
        <w:pStyle w:val="15"/>
        <w:rPr>
          <w:rFonts w:ascii="Times New Roman" w:hAnsi="Times New Roman"/>
          <w:b/>
          <w:sz w:val="84"/>
          <w:szCs w:val="84"/>
          <w:highlight w:val="auto"/>
        </w:rPr>
      </w:pPr>
    </w:p>
    <w:p>
      <w:pPr>
        <w:pStyle w:val="15"/>
        <w:rPr>
          <w:rFonts w:ascii="Times New Roman" w:hAnsi="Times New Roman"/>
          <w:b/>
          <w:sz w:val="84"/>
          <w:szCs w:val="84"/>
          <w:highlight w:val="auto"/>
        </w:rPr>
      </w:pPr>
    </w:p>
    <w:p>
      <w:pPr>
        <w:rPr>
          <w:rFonts w:ascii="Times New Roman" w:hAnsi="Times New Roman"/>
          <w:b/>
          <w:sz w:val="84"/>
          <w:szCs w:val="84"/>
          <w:highlight w:val="auto"/>
        </w:rPr>
      </w:pPr>
    </w:p>
    <w:p>
      <w:pPr>
        <w:pStyle w:val="31"/>
        <w:spacing w:line="560" w:lineRule="exact"/>
        <w:ind w:firstLineChars="200" w:firstLine="640"/>
        <w:rPr>
          <w:rFonts w:ascii="Times New Roman" w:eastAsia="方正黑体_GBK" w:hAnsi="Times New Roman"/>
          <w:sz w:val="32"/>
          <w:szCs w:val="32"/>
        </w:rPr>
      </w:pPr>
    </w:p>
    <w:p>
      <w:pPr>
        <w:pStyle w:val="31"/>
        <w:spacing w:line="56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一、关于</w:t>
      </w:r>
      <w:r>
        <w:rPr>
          <w:rFonts w:eastAsia="方正黑体_GBK" w:hint="eastAsia"/>
          <w:sz w:val="32"/>
          <w:szCs w:val="32"/>
          <w:lang w:eastAsia="zh-CN"/>
        </w:rPr>
        <w:t>海拉尔</w:t>
      </w:r>
      <w:r>
        <w:rPr>
          <w:rFonts w:ascii="Times New Roman" w:eastAsia="方正黑体_GBK" w:hAnsi="Times New Roman"/>
          <w:sz w:val="32"/>
          <w:szCs w:val="32"/>
        </w:rPr>
        <w:t>海关202</w:t>
      </w:r>
      <w:r>
        <w:rPr>
          <w:rFonts w:eastAsia="方正黑体_GBK" w:hint="eastAsia"/>
          <w:sz w:val="32"/>
          <w:szCs w:val="32"/>
          <w:lang w:val="en-US" w:eastAsia="zh-CN"/>
        </w:rPr>
        <w:t>5</w:t>
      </w:r>
      <w:r>
        <w:rPr>
          <w:rFonts w:ascii="Times New Roman" w:eastAsia="方正黑体_GBK" w:hAnsi="Times New Roman"/>
          <w:sz w:val="32"/>
          <w:szCs w:val="32"/>
        </w:rPr>
        <w:t>年收支预算情况的总体说明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rPr>
      </w:pPr>
      <w:r>
        <w:rPr>
          <w:rFonts w:ascii="Times New Roman" w:eastAsia="方正仿宋简体" w:cs="方正仿宋简体" w:hAnsi="Times New Roman" w:hint="eastAsia"/>
          <w:sz w:val="32"/>
          <w:szCs w:val="32"/>
        </w:rPr>
        <w:t>按照综合预算的原则，</w:t>
      </w:r>
      <w:r>
        <w:rPr>
          <w:rFonts w:ascii="Times New Roman" w:eastAsia="方正仿宋简体" w:cs="方正仿宋简体" w:hAnsi="Times New Roman" w:hint="eastAsia"/>
          <w:sz w:val="32"/>
          <w:szCs w:val="32"/>
          <w:lang w:eastAsia="zh-CN"/>
        </w:rPr>
        <w:t>海拉尔</w:t>
      </w:r>
      <w:r>
        <w:rPr>
          <w:rFonts w:ascii="Times New Roman" w:eastAsia="方正仿宋简体" w:cs="方正仿宋简体" w:hAnsi="Times New Roman" w:hint="eastAsia"/>
          <w:sz w:val="32"/>
          <w:szCs w:val="32"/>
        </w:rPr>
        <w:t>海关所有收入和支出均纳入部门预算管理。收入包括：一般公共预算拨款收入、其他收入、上年结转；支出包括：一般公共服务支出、公共安全支出、社会保障和就业支出、卫生健康支出、住房保障支出。202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rPr>
        <w:t>年收支总预算</w:t>
      </w:r>
      <w:r>
        <w:rPr>
          <w:rFonts w:eastAsia="方正仿宋简体" w:cs="方正仿宋简体" w:hint="eastAsia"/>
          <w:sz w:val="32"/>
          <w:szCs w:val="32"/>
          <w:lang w:val="en-US" w:eastAsia="zh-CN"/>
        </w:rPr>
        <w:t>2062.86</w:t>
      </w:r>
      <w:r>
        <w:rPr>
          <w:rFonts w:ascii="Times New Roman" w:eastAsia="方正仿宋简体" w:cs="方正仿宋简体" w:hAnsi="Times New Roman" w:hint="eastAsia"/>
          <w:sz w:val="32"/>
          <w:szCs w:val="32"/>
        </w:rPr>
        <w:t>万元。</w:t>
      </w:r>
    </w:p>
    <w:p>
      <w:pPr>
        <w:pStyle w:val="31"/>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二、关于</w:t>
      </w:r>
      <w:r>
        <w:rPr>
          <w:rFonts w:eastAsia="方正黑体_GBK" w:hint="eastAsia"/>
          <w:sz w:val="32"/>
          <w:szCs w:val="32"/>
          <w:lang w:eastAsia="zh-CN"/>
        </w:rPr>
        <w:t>海拉尔</w:t>
      </w:r>
      <w:r>
        <w:rPr>
          <w:rFonts w:ascii="Times New Roman" w:eastAsia="方正黑体_GBK" w:hAnsi="Times New Roman"/>
          <w:sz w:val="32"/>
          <w:szCs w:val="32"/>
        </w:rPr>
        <w:t>海关202</w:t>
      </w:r>
      <w:r>
        <w:rPr>
          <w:rFonts w:eastAsia="方正黑体_GBK" w:hint="eastAsia"/>
          <w:sz w:val="32"/>
          <w:szCs w:val="32"/>
          <w:lang w:val="en-US" w:eastAsia="zh-CN"/>
        </w:rPr>
        <w:t>5</w:t>
      </w:r>
      <w:r>
        <w:rPr>
          <w:rFonts w:ascii="Times New Roman" w:eastAsia="方正黑体_GBK" w:hAnsi="Times New Roman"/>
          <w:sz w:val="32"/>
          <w:szCs w:val="32"/>
        </w:rPr>
        <w:t>年收入预算情况说明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rPr>
      </w:pPr>
      <w:r>
        <w:rPr>
          <w:rFonts w:ascii="Times New Roman" w:eastAsia="方正仿宋简体" w:cs="方正仿宋简体" w:hAnsi="Times New Roman" w:hint="eastAsia"/>
          <w:sz w:val="32"/>
          <w:szCs w:val="32"/>
          <w:lang w:eastAsia="zh-CN"/>
        </w:rPr>
        <w:t>海拉尔</w:t>
      </w:r>
      <w:r>
        <w:rPr>
          <w:rFonts w:ascii="Times New Roman" w:eastAsia="方正仿宋简体" w:cs="方正仿宋简体" w:hAnsi="Times New Roman" w:hint="eastAsia"/>
          <w:sz w:val="32"/>
          <w:szCs w:val="32"/>
        </w:rPr>
        <w:t>海关202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rPr>
        <w:t>年收入预算</w:t>
      </w:r>
      <w:r>
        <w:rPr>
          <w:rFonts w:eastAsia="方正仿宋简体" w:cs="方正仿宋简体" w:hint="eastAsia"/>
          <w:sz w:val="32"/>
          <w:szCs w:val="32"/>
          <w:lang w:val="en-US" w:eastAsia="zh-CN"/>
        </w:rPr>
        <w:t>2062.86</w:t>
      </w:r>
      <w:r>
        <w:rPr>
          <w:rFonts w:ascii="Times New Roman" w:eastAsia="方正仿宋简体" w:cs="方正仿宋简体" w:hAnsi="Times New Roman" w:hint="eastAsia"/>
          <w:sz w:val="32"/>
          <w:szCs w:val="32"/>
        </w:rPr>
        <w:t>万元，其中：上年结转</w:t>
      </w:r>
      <w:r>
        <w:rPr>
          <w:rFonts w:eastAsia="方正仿宋简体" w:cs="方正仿宋简体" w:hint="eastAsia"/>
          <w:sz w:val="32"/>
          <w:szCs w:val="32"/>
          <w:lang w:val="en-US" w:eastAsia="zh-CN"/>
        </w:rPr>
        <w:t>106.07</w:t>
      </w:r>
      <w:r>
        <w:rPr>
          <w:rFonts w:ascii="Times New Roman" w:eastAsia="方正仿宋简体" w:cs="方正仿宋简体" w:hAnsi="Times New Roman" w:hint="eastAsia"/>
          <w:sz w:val="32"/>
          <w:szCs w:val="32"/>
        </w:rPr>
        <w:t>万元，占</w:t>
      </w:r>
      <w:r>
        <w:rPr>
          <w:rFonts w:eastAsia="方正仿宋简体" w:cs="方正仿宋简体" w:hint="eastAsia"/>
          <w:sz w:val="32"/>
          <w:szCs w:val="32"/>
          <w:lang w:val="en-US" w:eastAsia="zh-CN"/>
        </w:rPr>
        <w:t>5.14</w:t>
      </w:r>
      <w:r>
        <w:rPr>
          <w:rFonts w:ascii="Times New Roman" w:eastAsia="方正仿宋简体" w:cs="方正仿宋简体" w:hAnsi="Times New Roman" w:hint="eastAsia"/>
          <w:sz w:val="32"/>
          <w:szCs w:val="32"/>
        </w:rPr>
        <w:t xml:space="preserve">%；一般公共预算财政拨款 </w:t>
      </w:r>
      <w:r>
        <w:rPr>
          <w:rFonts w:eastAsia="方正仿宋简体" w:cs="方正仿宋简体" w:hint="eastAsia"/>
          <w:sz w:val="32"/>
          <w:szCs w:val="32"/>
          <w:lang w:val="en-US" w:eastAsia="zh-CN"/>
        </w:rPr>
        <w:t>1766.29</w:t>
      </w:r>
      <w:r>
        <w:rPr>
          <w:rFonts w:ascii="Times New Roman" w:eastAsia="方正仿宋简体" w:cs="方正仿宋简体" w:hAnsi="Times New Roman" w:hint="eastAsia"/>
          <w:sz w:val="32"/>
          <w:szCs w:val="32"/>
        </w:rPr>
        <w:t>万元，占</w:t>
      </w:r>
      <w:r>
        <w:rPr>
          <w:rFonts w:eastAsia="方正仿宋简体" w:cs="方正仿宋简体" w:hint="eastAsia"/>
          <w:sz w:val="32"/>
          <w:szCs w:val="32"/>
          <w:lang w:val="en-US" w:eastAsia="zh-CN"/>
        </w:rPr>
        <w:t>85.62</w:t>
      </w:r>
      <w:r>
        <w:rPr>
          <w:rFonts w:ascii="Times New Roman" w:eastAsia="方正仿宋简体" w:cs="方正仿宋简体" w:hAnsi="Times New Roman" w:hint="eastAsia"/>
          <w:sz w:val="32"/>
          <w:szCs w:val="32"/>
        </w:rPr>
        <w:t>%；其他收入</w:t>
      </w:r>
      <w:r>
        <w:rPr>
          <w:rFonts w:eastAsia="方正仿宋简体" w:cs="方正仿宋简体" w:hint="eastAsia"/>
          <w:sz w:val="32"/>
          <w:szCs w:val="32"/>
          <w:lang w:val="en-US" w:eastAsia="zh-CN"/>
        </w:rPr>
        <w:t>190.50</w:t>
      </w:r>
      <w:r>
        <w:rPr>
          <w:rFonts w:ascii="Times New Roman" w:eastAsia="方正仿宋简体" w:cs="方正仿宋简体" w:hAnsi="Times New Roman" w:hint="eastAsia"/>
          <w:sz w:val="32"/>
          <w:szCs w:val="32"/>
        </w:rPr>
        <w:t>万元，占</w:t>
      </w:r>
      <w:r>
        <w:rPr>
          <w:rFonts w:eastAsia="方正仿宋简体" w:cs="方正仿宋简体" w:hint="eastAsia"/>
          <w:sz w:val="32"/>
          <w:szCs w:val="32"/>
          <w:lang w:val="en-US" w:eastAsia="zh-CN"/>
        </w:rPr>
        <w:t>9.24</w:t>
      </w:r>
      <w:r>
        <w:rPr>
          <w:rFonts w:ascii="Times New Roman" w:eastAsia="方正仿宋简体" w:cs="方正仿宋简体" w:hAnsi="Times New Roman" w:hint="eastAsia"/>
          <w:sz w:val="32"/>
          <w:szCs w:val="32"/>
        </w:rPr>
        <w:t>%。</w:t>
      </w:r>
    </w:p>
    <w:p>
      <w:pPr>
        <w:pStyle w:val="31"/>
        <w:spacing w:line="560" w:lineRule="exact"/>
        <w:rPr>
          <w:rFonts w:ascii="Times New Roman" w:eastAsia="方正黑体_GBK" w:hAnsi="Times New Roman"/>
          <w:sz w:val="32"/>
          <w:szCs w:val="32"/>
        </w:rPr>
      </w:pPr>
    </w:p>
    <w:p>
      <w:pPr>
        <w:pStyle w:val="31"/>
        <w:spacing w:line="240" w:lineRule="auto"/>
        <w:ind w:firstLineChars="200" w:firstLine="640"/>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eastAsia="zh-CN"/>
        </w:rPr>
        <w:drawing>
          <wp:inline distT="0" distB="0" distL="114300" distR="114300">
            <wp:extent cx="4561840" cy="2856865"/>
            <wp:effectExtent l="0" t="0" r="0" b="0"/>
            <wp:docPr id="4" name="图片 7" descr="图片1"/>
            <wp:cNvGraphicFramePr>
              <a:graphicFrameLocks noChangeAspect="1"/>
            </wp:cNvGraphicFramePr>
            <a:graphic>
              <a:graphicData uri="http://schemas.openxmlformats.org/drawingml/2006/picture">
                <pic:pic>
                  <pic:nvPicPr>
                    <pic:cNvPr id="6" name="图片 7 6"/>
                    <pic:cNvPicPr/>
                  </pic:nvPicPr>
                  <pic:blipFill>
                    <a:blip r:embed="rId4"/>
                    <a:stretch>
                      <a:fillRect/>
                    </a:stretch>
                  </pic:blipFill>
                  <pic:spPr>
                    <a:xfrm rot="0">
                      <a:off x="0" y="0"/>
                      <a:ext cx="4561840" cy="2856865"/>
                    </a:xfrm>
                    <a:prstGeom prst="rect"/>
                    <a:noFill/>
                    <a:ln w="9525" cmpd="sng" cap="flat">
                      <a:noFill/>
                      <a:prstDash val="solid"/>
                      <a:miter/>
                    </a:ln>
                  </pic:spPr>
                </pic:pic>
              </a:graphicData>
            </a:graphic>
          </wp:inline>
        </w:drawing>
      </w:r>
    </w:p>
    <w:p>
      <w:pPr>
        <w:pStyle w:val="31"/>
        <w:tabs>
          <w:tab w:val="right" w:pos="8993"/>
        </w:tabs>
        <w:spacing w:line="240" w:lineRule="auto"/>
        <w:ind w:firstLine="644"/>
        <w:jc w:val="left"/>
        <w:rPr>
          <w:rFonts w:ascii="Times New Roman" w:eastAsia="宋体" w:hAnsi="Times New Roman" w:hint="eastAsia"/>
          <w:lang w:eastAsia="zh-CN"/>
          <w:highlight w:val="auto"/>
        </w:rPr>
      </w:pPr>
      <w:r>
        <w:rPr>
          <w:rFonts w:ascii="Times New Roman" w:hAnsi="Times New Roman" w:hint="eastAsia"/>
          <w:lang w:val="en-US" w:eastAsia="zh-CN"/>
          <w:highlight w:val="auto"/>
        </w:rPr>
        <w:t xml:space="preserve">         </w:t>
      </w:r>
      <w:r>
        <w:rPr>
          <w:rFonts w:ascii="Times New Roman" w:hAnsi="Times New Roman" w:hint="eastAsia"/>
          <w:lang w:eastAsia="zh-CN"/>
          <w:highlight w:val="auto"/>
        </w:rPr>
        <w:tab/>
      </w:r>
    </w:p>
    <w:p>
      <w:pPr>
        <w:pStyle w:val="31"/>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三、关于</w:t>
      </w:r>
      <w:r>
        <w:rPr>
          <w:rFonts w:eastAsia="方正黑体_GBK" w:hint="eastAsia"/>
          <w:sz w:val="32"/>
          <w:szCs w:val="32"/>
          <w:lang w:eastAsia="zh-CN"/>
        </w:rPr>
        <w:t>海拉尔</w:t>
      </w:r>
      <w:r>
        <w:rPr>
          <w:rFonts w:ascii="Times New Roman" w:eastAsia="方正黑体_GBK" w:hAnsi="Times New Roman" w:hint="eastAsia"/>
          <w:sz w:val="32"/>
          <w:szCs w:val="32"/>
        </w:rPr>
        <w:t>海关</w:t>
      </w:r>
      <w:r>
        <w:rPr>
          <w:rFonts w:ascii="Times New Roman" w:eastAsia="方正黑体_GBK" w:hAnsi="Times New Roman"/>
          <w:sz w:val="32"/>
          <w:szCs w:val="32"/>
        </w:rPr>
        <w:t>202</w:t>
      </w:r>
      <w:r>
        <w:rPr>
          <w:rFonts w:eastAsia="方正黑体_GBK" w:hint="eastAsia"/>
          <w:sz w:val="32"/>
          <w:szCs w:val="32"/>
          <w:lang w:val="en-US" w:eastAsia="zh-CN"/>
        </w:rPr>
        <w:t>5</w:t>
      </w:r>
      <w:r>
        <w:rPr>
          <w:rFonts w:ascii="Times New Roman" w:eastAsia="方正黑体_GBK" w:hAnsi="Times New Roman" w:hint="eastAsia"/>
          <w:sz w:val="32"/>
          <w:szCs w:val="32"/>
        </w:rPr>
        <w:t>年支出预算情况说明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海拉尔海关202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年支出预算</w:t>
      </w:r>
      <w:r>
        <w:rPr>
          <w:rFonts w:eastAsia="方正仿宋简体" w:cs="方正仿宋简体" w:hint="eastAsia"/>
          <w:sz w:val="32"/>
          <w:szCs w:val="32"/>
          <w:lang w:val="en-US" w:eastAsia="zh-CN"/>
        </w:rPr>
        <w:t>2051.31</w:t>
      </w:r>
      <w:r>
        <w:rPr>
          <w:rFonts w:ascii="Times New Roman" w:eastAsia="方正仿宋简体" w:cs="方正仿宋简体" w:hAnsi="Times New Roman" w:hint="eastAsia"/>
          <w:sz w:val="32"/>
          <w:szCs w:val="32"/>
          <w:lang w:val="en-US" w:eastAsia="zh-CN"/>
        </w:rPr>
        <w:t>万元，其中：基本支出</w:t>
      </w:r>
      <w:r>
        <w:rPr>
          <w:rFonts w:eastAsia="方正仿宋简体" w:cs="方正仿宋简体" w:hint="eastAsia"/>
          <w:sz w:val="32"/>
          <w:szCs w:val="32"/>
          <w:lang w:val="en-US" w:eastAsia="zh-CN"/>
        </w:rPr>
        <w:t>1823.76</w:t>
      </w:r>
      <w:r>
        <w:rPr>
          <w:rFonts w:ascii="Times New Roman" w:eastAsia="方正仿宋简体" w:cs="方正仿宋简体" w:hAnsi="Times New Roman" w:hint="eastAsia"/>
          <w:sz w:val="32"/>
          <w:szCs w:val="32"/>
          <w:lang w:val="en-US" w:eastAsia="zh-CN"/>
        </w:rPr>
        <w:t>万元，占</w:t>
      </w:r>
      <w:r>
        <w:rPr>
          <w:rFonts w:eastAsia="方正仿宋简体" w:cs="方正仿宋简体" w:hint="eastAsia"/>
          <w:sz w:val="32"/>
          <w:szCs w:val="32"/>
          <w:lang w:val="en-US" w:eastAsia="zh-CN"/>
        </w:rPr>
        <w:t>88.91</w:t>
      </w:r>
      <w:r>
        <w:rPr>
          <w:rFonts w:ascii="Times New Roman" w:eastAsia="方正仿宋简体" w:cs="方正仿宋简体" w:hAnsi="Times New Roman" w:hint="eastAsia"/>
          <w:sz w:val="32"/>
          <w:szCs w:val="32"/>
          <w:lang w:val="en-US" w:eastAsia="zh-CN"/>
        </w:rPr>
        <w:t>%；项目支出</w:t>
      </w:r>
      <w:r>
        <w:rPr>
          <w:rFonts w:eastAsia="方正仿宋简体" w:cs="方正仿宋简体" w:hint="eastAsia"/>
          <w:sz w:val="32"/>
          <w:szCs w:val="32"/>
          <w:lang w:val="en-US" w:eastAsia="zh-CN"/>
        </w:rPr>
        <w:t>227.55</w:t>
      </w:r>
      <w:r>
        <w:rPr>
          <w:rFonts w:ascii="Times New Roman" w:eastAsia="方正仿宋简体" w:cs="方正仿宋简体" w:hAnsi="Times New Roman" w:hint="eastAsia"/>
          <w:sz w:val="32"/>
          <w:szCs w:val="32"/>
          <w:lang w:val="en-US" w:eastAsia="zh-CN"/>
        </w:rPr>
        <w:t>万元，占</w:t>
      </w:r>
      <w:r>
        <w:rPr>
          <w:rFonts w:eastAsia="方正仿宋简体" w:cs="方正仿宋简体" w:hint="eastAsia"/>
          <w:sz w:val="32"/>
          <w:szCs w:val="32"/>
          <w:lang w:val="en-US" w:eastAsia="zh-CN"/>
        </w:rPr>
        <w:t>11.09</w:t>
      </w:r>
      <w:r>
        <w:rPr>
          <w:rFonts w:ascii="Times New Roman" w:eastAsia="方正仿宋简体" w:cs="方正仿宋简体" w:hAnsi="Times New Roman" w:hint="eastAsia"/>
          <w:sz w:val="32"/>
          <w:szCs w:val="32"/>
          <w:lang w:val="en-US" w:eastAsia="zh-CN"/>
        </w:rPr>
        <w:t>%。</w:t>
      </w:r>
    </w:p>
    <w:p>
      <w:pPr>
        <w:pStyle w:val="31"/>
        <w:spacing w:line="240" w:lineRule="auto"/>
        <w:ind w:firstLineChars="200" w:firstLine="640"/>
        <w:rPr>
          <w:rFonts w:ascii="Times New Roman" w:eastAsia="宋体" w:hAnsi="Times New Roman" w:hint="eastAsia"/>
          <w:sz w:val="32"/>
          <w:szCs w:val="32"/>
          <w:lang w:eastAsia="zh-CN"/>
          <w:highlight w:val="auto"/>
        </w:rPr>
      </w:pPr>
      <w:r>
        <w:rPr>
          <w:rFonts w:ascii="Times New Roman" w:eastAsia="宋体" w:hAnsi="Times New Roman" w:hint="eastAsia"/>
          <w:sz w:val="32"/>
          <w:szCs w:val="32"/>
          <w:lang w:eastAsia="zh-CN"/>
          <w:highlight w:val="auto"/>
        </w:rPr>
        <w:drawing>
          <wp:inline distT="0" distB="0" distL="114300" distR="114300">
            <wp:extent cx="4599940" cy="2733040"/>
            <wp:effectExtent l="0" t="0" r="0" b="0"/>
            <wp:docPr id="7" name="图片 10" descr="图片2"/>
            <wp:cNvGraphicFramePr>
              <a:graphicFrameLocks noChangeAspect="1"/>
            </wp:cNvGraphicFramePr>
            <a:graphic>
              <a:graphicData uri="http://schemas.openxmlformats.org/drawingml/2006/picture">
                <pic:pic>
                  <pic:nvPicPr>
                    <pic:cNvPr id="9" name="图片 10 9"/>
                    <pic:cNvPicPr/>
                  </pic:nvPicPr>
                  <pic:blipFill>
                    <a:blip r:embed="rId5"/>
                    <a:stretch>
                      <a:fillRect/>
                    </a:stretch>
                  </pic:blipFill>
                  <pic:spPr>
                    <a:xfrm rot="0">
                      <a:off x="0" y="0"/>
                      <a:ext cx="4599940" cy="2733040"/>
                    </a:xfrm>
                    <a:prstGeom prst="rect"/>
                    <a:noFill/>
                    <a:ln w="9525" cmpd="sng" cap="flat">
                      <a:noFill/>
                      <a:prstDash val="solid"/>
                      <a:miter/>
                    </a:ln>
                  </pic:spPr>
                </pic:pic>
              </a:graphicData>
            </a:graphic>
          </wp:inline>
        </w:drawing>
      </w:r>
    </w:p>
    <w:p>
      <w:pPr>
        <w:pStyle w:val="63"/>
        <w:spacing w:line="560" w:lineRule="exact"/>
        <w:ind w:firstLine="644"/>
        <w:jc w:val="left"/>
        <w:rPr>
          <w:rFonts w:ascii="Times New Roman" w:hAnsi="Times New Roman"/>
          <w:highlight w:val="auto"/>
        </w:rPr>
      </w:pPr>
    </w:p>
    <w:p>
      <w:pPr>
        <w:pStyle w:val="31"/>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四、关于</w:t>
      </w:r>
      <w:r>
        <w:rPr>
          <w:rFonts w:eastAsia="方正黑体_GBK" w:hint="eastAsia"/>
          <w:sz w:val="32"/>
          <w:szCs w:val="32"/>
          <w:lang w:eastAsia="zh-CN"/>
        </w:rPr>
        <w:t>海拉尔</w:t>
      </w:r>
      <w:r>
        <w:rPr>
          <w:rFonts w:ascii="Times New Roman" w:eastAsia="方正黑体_GBK" w:hAnsi="Times New Roman" w:hint="eastAsia"/>
          <w:sz w:val="32"/>
          <w:szCs w:val="32"/>
        </w:rPr>
        <w:t>海关202</w:t>
      </w:r>
      <w:r>
        <w:rPr>
          <w:rFonts w:eastAsia="方正黑体_GBK" w:hint="eastAsia"/>
          <w:sz w:val="32"/>
          <w:szCs w:val="32"/>
          <w:lang w:val="en-US" w:eastAsia="zh-CN"/>
        </w:rPr>
        <w:t>5</w:t>
      </w:r>
      <w:r>
        <w:rPr>
          <w:rFonts w:ascii="Times New Roman" w:eastAsia="方正黑体_GBK" w:hAnsi="Times New Roman" w:hint="eastAsia"/>
          <w:sz w:val="32"/>
          <w:szCs w:val="32"/>
        </w:rPr>
        <w:t>年财政拨款收支预算情况总体说明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海拉尔海关202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年财政拨款收支总预算</w:t>
      </w:r>
      <w:r>
        <w:rPr>
          <w:rFonts w:eastAsia="方正仿宋简体" w:cs="方正仿宋简体" w:hint="eastAsia"/>
          <w:sz w:val="32"/>
          <w:szCs w:val="32"/>
          <w:lang w:val="en-US" w:eastAsia="zh-CN"/>
        </w:rPr>
        <w:t>1805.42</w:t>
      </w:r>
      <w:r>
        <w:rPr>
          <w:rFonts w:ascii="Times New Roman" w:eastAsia="方正仿宋简体" w:cs="方正仿宋简体" w:hAnsi="Times New Roman" w:hint="eastAsia"/>
          <w:sz w:val="32"/>
          <w:szCs w:val="32"/>
          <w:lang w:val="en-US" w:eastAsia="zh-CN"/>
        </w:rPr>
        <w:t>万元。收入全部为一般公共预算拨款。收入包括：一般公共预算当年财政拨款收入</w:t>
      </w:r>
      <w:r>
        <w:rPr>
          <w:rFonts w:eastAsia="方正仿宋简体" w:cs="方正仿宋简体" w:hint="eastAsia"/>
          <w:sz w:val="32"/>
          <w:szCs w:val="32"/>
          <w:lang w:val="en-US" w:eastAsia="zh-CN"/>
        </w:rPr>
        <w:t>1766.29</w:t>
      </w:r>
      <w:r>
        <w:rPr>
          <w:rFonts w:ascii="Times New Roman" w:eastAsia="方正仿宋简体" w:cs="方正仿宋简体" w:hAnsi="Times New Roman" w:hint="eastAsia"/>
          <w:sz w:val="32"/>
          <w:szCs w:val="32"/>
          <w:lang w:val="en-US" w:eastAsia="zh-CN"/>
        </w:rPr>
        <w:t>万元、上年结转</w:t>
      </w:r>
      <w:r>
        <w:rPr>
          <w:rFonts w:eastAsia="方正仿宋简体" w:cs="方正仿宋简体" w:hint="eastAsia"/>
          <w:sz w:val="32"/>
          <w:szCs w:val="32"/>
          <w:lang w:val="en-US" w:eastAsia="zh-CN"/>
        </w:rPr>
        <w:t>39.13</w:t>
      </w:r>
      <w:r>
        <w:rPr>
          <w:rFonts w:ascii="Times New Roman" w:eastAsia="方正仿宋简体" w:cs="方正仿宋简体" w:hAnsi="Times New Roman" w:hint="eastAsia"/>
          <w:sz w:val="32"/>
          <w:szCs w:val="32"/>
          <w:lang w:val="en-US" w:eastAsia="zh-CN"/>
        </w:rPr>
        <w:t>万元。支出包括：一般公共服务支出</w:t>
      </w:r>
      <w:r>
        <w:rPr>
          <w:rFonts w:eastAsia="方正仿宋简体" w:cs="方正仿宋简体" w:hint="eastAsia"/>
          <w:sz w:val="32"/>
          <w:szCs w:val="32"/>
          <w:lang w:val="en-US" w:eastAsia="zh-CN"/>
        </w:rPr>
        <w:t>1055.64</w:t>
      </w:r>
      <w:r>
        <w:rPr>
          <w:rFonts w:ascii="Times New Roman" w:eastAsia="方正仿宋简体" w:cs="方正仿宋简体" w:hAnsi="Times New Roman" w:hint="eastAsia"/>
          <w:sz w:val="32"/>
          <w:szCs w:val="32"/>
          <w:lang w:val="en-US" w:eastAsia="zh-CN"/>
        </w:rPr>
        <w:t>万元、公共安全支出</w:t>
      </w:r>
      <w:r>
        <w:rPr>
          <w:rFonts w:eastAsia="方正仿宋简体" w:cs="方正仿宋简体" w:hint="eastAsia"/>
          <w:sz w:val="32"/>
          <w:szCs w:val="32"/>
          <w:lang w:val="en-US" w:eastAsia="zh-CN"/>
        </w:rPr>
        <w:t>361.72</w:t>
      </w:r>
      <w:r>
        <w:rPr>
          <w:rFonts w:ascii="Times New Roman" w:eastAsia="方正仿宋简体" w:cs="方正仿宋简体" w:hAnsi="Times New Roman" w:hint="eastAsia"/>
          <w:sz w:val="32"/>
          <w:szCs w:val="32"/>
          <w:lang w:val="en-US" w:eastAsia="zh-CN"/>
        </w:rPr>
        <w:t>万元、社会保障和就业支出</w:t>
      </w:r>
      <w:r>
        <w:rPr>
          <w:rFonts w:eastAsia="方正仿宋简体" w:cs="方正仿宋简体" w:hint="eastAsia"/>
          <w:sz w:val="32"/>
          <w:szCs w:val="32"/>
          <w:lang w:val="en-US" w:eastAsia="zh-CN"/>
        </w:rPr>
        <w:t>158.54</w:t>
      </w:r>
      <w:r>
        <w:rPr>
          <w:rFonts w:ascii="Times New Roman" w:eastAsia="方正仿宋简体" w:cs="方正仿宋简体" w:hAnsi="Times New Roman" w:hint="eastAsia"/>
          <w:sz w:val="32"/>
          <w:szCs w:val="32"/>
          <w:lang w:val="en-US" w:eastAsia="zh-CN"/>
        </w:rPr>
        <w:t>万元、卫生健康支出</w:t>
      </w:r>
      <w:r>
        <w:rPr>
          <w:rFonts w:eastAsia="方正仿宋简体" w:cs="方正仿宋简体" w:hint="eastAsia"/>
          <w:sz w:val="32"/>
          <w:szCs w:val="32"/>
          <w:lang w:val="en-US" w:eastAsia="zh-CN"/>
        </w:rPr>
        <w:t>68.91</w:t>
      </w:r>
      <w:r>
        <w:rPr>
          <w:rFonts w:ascii="Times New Roman" w:eastAsia="方正仿宋简体" w:cs="方正仿宋简体" w:hAnsi="Times New Roman" w:hint="eastAsia"/>
          <w:sz w:val="32"/>
          <w:szCs w:val="32"/>
          <w:lang w:val="en-US" w:eastAsia="zh-CN"/>
        </w:rPr>
        <w:t>万元、住房保障支出</w:t>
      </w:r>
      <w:r>
        <w:rPr>
          <w:rFonts w:eastAsia="方正仿宋简体" w:cs="方正仿宋简体" w:hint="eastAsia"/>
          <w:sz w:val="32"/>
          <w:szCs w:val="32"/>
          <w:lang w:val="en-US" w:eastAsia="zh-CN"/>
        </w:rPr>
        <w:t>160.61</w:t>
      </w:r>
      <w:r>
        <w:rPr>
          <w:rFonts w:ascii="Times New Roman" w:eastAsia="方正仿宋简体" w:cs="方正仿宋简体" w:hAnsi="Times New Roman" w:hint="eastAsia"/>
          <w:sz w:val="32"/>
          <w:szCs w:val="32"/>
          <w:lang w:val="en-US" w:eastAsia="zh-CN"/>
        </w:rPr>
        <w:t>万元。</w:t>
      </w:r>
    </w:p>
    <w:p>
      <w:pPr>
        <w:spacing w:line="240" w:lineRule="auto"/>
        <w:ind w:firstLineChars="200" w:firstLine="640"/>
        <w:rPr>
          <w:rFonts w:ascii="Times New Roman" w:eastAsia="宋体" w:hAnsi="Times New Roman" w:hint="eastAsia"/>
          <w:sz w:val="32"/>
          <w:szCs w:val="32"/>
          <w:lang w:eastAsia="zh-CN"/>
          <w:highlight w:val="auto"/>
        </w:rPr>
      </w:pPr>
      <w:r>
        <w:rPr>
          <w:rFonts w:ascii="Times New Roman" w:eastAsia="宋体" w:hAnsi="Times New Roman" w:hint="eastAsia"/>
          <w:sz w:val="32"/>
          <w:szCs w:val="32"/>
          <w:lang w:eastAsia="zh-CN"/>
          <w:highlight w:val="auto"/>
        </w:rPr>
        <w:drawing>
          <wp:inline distT="0" distB="0" distL="114300" distR="114300">
            <wp:extent cx="4561840" cy="2856865"/>
            <wp:effectExtent l="0" t="0" r="0" b="0"/>
            <wp:docPr id="10" name="图片 13" descr="图片3"/>
            <wp:cNvGraphicFramePr>
              <a:graphicFrameLocks noChangeAspect="1"/>
            </wp:cNvGraphicFramePr>
            <a:graphic>
              <a:graphicData uri="http://schemas.openxmlformats.org/drawingml/2006/picture">
                <pic:pic>
                  <pic:nvPicPr>
                    <pic:cNvPr id="12" name="图片 13 12"/>
                    <pic:cNvPicPr/>
                  </pic:nvPicPr>
                  <pic:blipFill>
                    <a:blip r:embed="rId6"/>
                    <a:stretch>
                      <a:fillRect/>
                    </a:stretch>
                  </pic:blipFill>
                  <pic:spPr>
                    <a:xfrm rot="0">
                      <a:off x="0" y="0"/>
                      <a:ext cx="4561840" cy="2856865"/>
                    </a:xfrm>
                    <a:prstGeom prst="rect"/>
                    <a:noFill/>
                    <a:ln w="9525" cmpd="sng" cap="flat">
                      <a:noFill/>
                      <a:prstDash val="solid"/>
                      <a:miter/>
                    </a:ln>
                  </pic:spPr>
                </pic:pic>
              </a:graphicData>
            </a:graphic>
          </wp:inline>
        </w:drawing>
      </w:r>
    </w:p>
    <w:p>
      <w:pPr>
        <w:spacing w:line="560" w:lineRule="exact"/>
        <w:ind w:firstLine="644"/>
        <w:rPr>
          <w:rFonts w:ascii="Times New Roman" w:hAnsi="Times New Roman" w:hint="eastAsia"/>
          <w:sz w:val="32"/>
          <w:szCs w:val="32"/>
          <w:highlight w:val="auto"/>
        </w:rPr>
      </w:pP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黑体_GBK" w:hAnsi="Times New Roman"/>
          <w:sz w:val="32"/>
          <w:szCs w:val="32"/>
        </w:rPr>
      </w:pPr>
      <w:r>
        <w:rPr>
          <w:rFonts w:ascii="Times New Roman" w:eastAsia="方正黑体_GBK" w:hAnsi="Times New Roman" w:hint="eastAsia"/>
          <w:sz w:val="32"/>
          <w:szCs w:val="32"/>
        </w:rPr>
        <w:t>五、关于</w:t>
      </w:r>
      <w:r>
        <w:rPr>
          <w:rFonts w:eastAsia="方正黑体_GBK" w:hint="eastAsia"/>
          <w:sz w:val="32"/>
          <w:szCs w:val="32"/>
          <w:lang w:eastAsia="zh-CN"/>
        </w:rPr>
        <w:t>海拉尔</w:t>
      </w:r>
      <w:r>
        <w:rPr>
          <w:rFonts w:ascii="Times New Roman" w:eastAsia="方正黑体_GBK" w:hAnsi="Times New Roman" w:hint="eastAsia"/>
          <w:sz w:val="32"/>
          <w:szCs w:val="32"/>
        </w:rPr>
        <w:t>海关202</w:t>
      </w:r>
      <w:r>
        <w:rPr>
          <w:rFonts w:eastAsia="方正黑体_GBK" w:hint="eastAsia"/>
          <w:sz w:val="32"/>
          <w:szCs w:val="32"/>
          <w:lang w:val="en-US" w:eastAsia="zh-CN"/>
        </w:rPr>
        <w:t>5</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楷体" w:cs="楷体" w:hAnsi="Times New Roman" w:hint="eastAsia"/>
          <w:b/>
          <w:bCs/>
          <w:sz w:val="32"/>
          <w:szCs w:val="32"/>
        </w:rPr>
      </w:pPr>
      <w:r>
        <w:rPr>
          <w:rFonts w:ascii="Times New Roman" w:eastAsia="楷体" w:cs="楷体" w:hAnsi="Times New Roman" w:hint="eastAsia"/>
          <w:b/>
          <w:bCs/>
          <w:sz w:val="32"/>
          <w:szCs w:val="32"/>
        </w:rPr>
        <w:t>（一）一般公共预算当年财政拨款规模变化情况。</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海拉尔海关202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年一般公共预算当年财政拨款预算</w:t>
      </w:r>
      <w:r>
        <w:rPr>
          <w:rFonts w:eastAsia="方正仿宋简体" w:cs="方正仿宋简体" w:hint="eastAsia"/>
          <w:sz w:val="32"/>
          <w:szCs w:val="32"/>
          <w:lang w:val="en-US" w:eastAsia="zh-CN"/>
        </w:rPr>
        <w:t>1766.29</w:t>
      </w:r>
      <w:r>
        <w:rPr>
          <w:rFonts w:ascii="Times New Roman" w:eastAsia="方正仿宋简体" w:cs="方正仿宋简体" w:hAnsi="Times New Roman" w:hint="eastAsia"/>
          <w:sz w:val="32"/>
          <w:szCs w:val="32"/>
          <w:lang w:val="en-US" w:eastAsia="zh-CN"/>
        </w:rPr>
        <w:t>万元</w:t>
      </w:r>
      <w:r>
        <w:rPr>
          <w:rFonts w:eastAsia="方正仿宋简体" w:cs="方正仿宋简体" w:hint="eastAsia"/>
          <w:sz w:val="32"/>
          <w:szCs w:val="32"/>
        </w:rPr>
        <w:t>，</w:t>
      </w:r>
      <w:r>
        <w:rPr>
          <w:rFonts w:ascii="Times New Roman" w:eastAsia="方正仿宋简体" w:cs="方正仿宋简体" w:hAnsi="Times New Roman" w:hint="eastAsia"/>
          <w:sz w:val="32"/>
          <w:szCs w:val="32"/>
          <w:lang w:val="en-US" w:eastAsia="zh-CN"/>
        </w:rPr>
        <w:t>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年执行数增加</w:t>
      </w:r>
      <w:r>
        <w:rPr>
          <w:rFonts w:eastAsia="方正仿宋简体" w:cs="方正仿宋简体" w:hint="eastAsia"/>
          <w:sz w:val="32"/>
          <w:szCs w:val="32"/>
          <w:lang w:val="en-US" w:eastAsia="zh-CN"/>
        </w:rPr>
        <w:t>142.80</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8.80</w:t>
      </w:r>
      <w:r>
        <w:rPr>
          <w:rFonts w:ascii="Times New Roman" w:eastAsia="方正仿宋简体" w:cs="方正仿宋简体" w:hAnsi="Times New Roman" w:hint="eastAsia"/>
          <w:sz w:val="32"/>
          <w:szCs w:val="32"/>
          <w:lang w:val="en-US" w:eastAsia="zh-CN"/>
        </w:rPr>
        <w:t>%。202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按照党中央、国务院关于过紧日子的有关要求，全面加强各类资源统筹，优化支出结构，坚持钱要花到要处，坚持优先保障民生、重点保障刚性运转，精准保障海关改革发展。大力压减一般性支出，重点压减非急需非刚性支出，同时合理保障了海关关务、检验检疫、缉私警察等必要支出需求，体现在有关支出科目中。</w:t>
      </w:r>
    </w:p>
    <w:p>
      <w:pPr>
        <w:spacing w:line="560" w:lineRule="exact"/>
        <w:ind w:firstLineChars="200" w:firstLine="640"/>
        <w:jc w:val="left"/>
        <w:rPr>
          <w:rFonts w:ascii="Times New Roman" w:eastAsia="楷体" w:cs="楷体" w:hAnsi="Times New Roman" w:hint="eastAsia"/>
          <w:b/>
          <w:bCs/>
          <w:sz w:val="32"/>
          <w:szCs w:val="32"/>
        </w:rPr>
      </w:pPr>
      <w:r>
        <w:rPr>
          <w:rFonts w:ascii="Times New Roman" w:eastAsia="楷体" w:cs="楷体" w:hAnsi="Times New Roman" w:hint="eastAsia"/>
          <w:b/>
          <w:bCs/>
          <w:sz w:val="32"/>
          <w:szCs w:val="32"/>
        </w:rPr>
        <w:t>（二）一般公共预算当年财政拨款结构情况。</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年部门预算中，一般公共预算当年财政拨款用于以下方面：一般公共服务（类）支出</w:t>
      </w:r>
      <w:r>
        <w:rPr>
          <w:rFonts w:eastAsia="方正仿宋简体" w:cs="方正仿宋简体" w:hint="eastAsia"/>
          <w:sz w:val="32"/>
          <w:szCs w:val="32"/>
          <w:lang w:val="en-US" w:eastAsia="zh-CN"/>
        </w:rPr>
        <w:t>1053.24</w:t>
      </w:r>
      <w:r>
        <w:rPr>
          <w:rFonts w:ascii="Times New Roman" w:eastAsia="方正仿宋简体" w:cs="方正仿宋简体" w:hAnsi="Times New Roman" w:hint="eastAsia"/>
          <w:sz w:val="32"/>
          <w:szCs w:val="32"/>
          <w:lang w:val="en-US" w:eastAsia="zh-CN"/>
        </w:rPr>
        <w:t>万元，占59.</w:t>
      </w:r>
      <w:r>
        <w:rPr>
          <w:rFonts w:eastAsia="方正仿宋简体" w:cs="方正仿宋简体" w:hint="eastAsia"/>
          <w:sz w:val="32"/>
          <w:szCs w:val="32"/>
          <w:lang w:val="en-US" w:eastAsia="zh-CN"/>
        </w:rPr>
        <w:t>63</w:t>
      </w:r>
      <w:r>
        <w:rPr>
          <w:rFonts w:ascii="Times New Roman" w:eastAsia="方正仿宋简体" w:cs="方正仿宋简体" w:hAnsi="Times New Roman" w:hint="eastAsia"/>
          <w:sz w:val="32"/>
          <w:szCs w:val="32"/>
          <w:lang w:val="en-US" w:eastAsia="zh-CN"/>
        </w:rPr>
        <w:t>%；公共安全（类）支出</w:t>
      </w:r>
      <w:r>
        <w:rPr>
          <w:rFonts w:eastAsia="方正仿宋简体" w:cs="方正仿宋简体" w:hint="eastAsia"/>
          <w:sz w:val="32"/>
          <w:szCs w:val="32"/>
          <w:lang w:val="en-US" w:eastAsia="zh-CN"/>
        </w:rPr>
        <w:t>347.09</w:t>
      </w:r>
      <w:r>
        <w:rPr>
          <w:rFonts w:ascii="Times New Roman" w:eastAsia="方正仿宋简体" w:cs="方正仿宋简体" w:hAnsi="Times New Roman" w:hint="eastAsia"/>
          <w:sz w:val="32"/>
          <w:szCs w:val="32"/>
          <w:lang w:val="en-US" w:eastAsia="zh-CN"/>
        </w:rPr>
        <w:t>万元，占</w:t>
      </w:r>
      <w:r>
        <w:rPr>
          <w:rFonts w:eastAsia="方正仿宋简体" w:cs="方正仿宋简体" w:hint="eastAsia"/>
          <w:sz w:val="32"/>
          <w:szCs w:val="32"/>
          <w:lang w:val="en-US" w:eastAsia="zh-CN"/>
        </w:rPr>
        <w:t>19.65</w:t>
      </w:r>
      <w:r>
        <w:rPr>
          <w:rFonts w:ascii="Times New Roman" w:eastAsia="方正仿宋简体" w:cs="方正仿宋简体" w:hAnsi="Times New Roman" w:hint="eastAsia"/>
          <w:sz w:val="32"/>
          <w:szCs w:val="32"/>
          <w:lang w:val="en-US" w:eastAsia="zh-CN"/>
        </w:rPr>
        <w:t>%；社会保障和就业（类）支出</w:t>
      </w:r>
      <w:r>
        <w:rPr>
          <w:rFonts w:eastAsia="方正仿宋简体" w:cs="方正仿宋简体" w:hint="eastAsia"/>
          <w:sz w:val="32"/>
          <w:szCs w:val="32"/>
          <w:lang w:val="en-US" w:eastAsia="zh-CN"/>
        </w:rPr>
        <w:t>152.45</w:t>
      </w:r>
      <w:r>
        <w:rPr>
          <w:rFonts w:ascii="Times New Roman" w:eastAsia="方正仿宋简体" w:cs="方正仿宋简体" w:hAnsi="Times New Roman" w:hint="eastAsia"/>
          <w:sz w:val="32"/>
          <w:szCs w:val="32"/>
          <w:lang w:val="en-US" w:eastAsia="zh-CN"/>
        </w:rPr>
        <w:t>万元，占</w:t>
      </w:r>
      <w:r>
        <w:rPr>
          <w:rFonts w:eastAsia="方正仿宋简体" w:cs="方正仿宋简体" w:hint="eastAsia"/>
          <w:sz w:val="32"/>
          <w:szCs w:val="32"/>
          <w:lang w:val="en-US" w:eastAsia="zh-CN"/>
        </w:rPr>
        <w:t>8.63</w:t>
      </w:r>
      <w:r>
        <w:rPr>
          <w:rFonts w:ascii="Times New Roman" w:eastAsia="方正仿宋简体" w:cs="方正仿宋简体" w:hAnsi="Times New Roman" w:hint="eastAsia"/>
          <w:sz w:val="32"/>
          <w:szCs w:val="32"/>
          <w:lang w:val="en-US" w:eastAsia="zh-CN"/>
        </w:rPr>
        <w:t>%；卫生健康（类）支出</w:t>
      </w:r>
      <w:r>
        <w:rPr>
          <w:rFonts w:eastAsia="方正仿宋简体" w:cs="方正仿宋简体" w:hint="eastAsia"/>
          <w:sz w:val="32"/>
          <w:szCs w:val="32"/>
          <w:lang w:val="en-US" w:eastAsia="zh-CN"/>
        </w:rPr>
        <w:t>63.91</w:t>
      </w:r>
      <w:r>
        <w:rPr>
          <w:rFonts w:ascii="Times New Roman" w:eastAsia="方正仿宋简体" w:cs="方正仿宋简体" w:hAnsi="Times New Roman" w:hint="eastAsia"/>
          <w:sz w:val="32"/>
          <w:szCs w:val="32"/>
          <w:lang w:val="en-US" w:eastAsia="zh-CN"/>
        </w:rPr>
        <w:t>万元，占</w:t>
      </w:r>
      <w:r>
        <w:rPr>
          <w:rFonts w:eastAsia="方正仿宋简体" w:cs="方正仿宋简体" w:hint="eastAsia"/>
          <w:sz w:val="32"/>
          <w:szCs w:val="32"/>
          <w:lang w:val="en-US" w:eastAsia="zh-CN"/>
        </w:rPr>
        <w:t>3.62</w:t>
      </w:r>
      <w:r>
        <w:rPr>
          <w:rFonts w:ascii="Times New Roman" w:eastAsia="方正仿宋简体" w:cs="方正仿宋简体" w:hAnsi="Times New Roman" w:hint="eastAsia"/>
          <w:sz w:val="32"/>
          <w:szCs w:val="32"/>
          <w:lang w:val="en-US" w:eastAsia="zh-CN"/>
        </w:rPr>
        <w:t>%；住房保障（类）支出</w:t>
      </w:r>
      <w:r>
        <w:rPr>
          <w:rFonts w:eastAsia="方正仿宋简体" w:cs="方正仿宋简体" w:hint="eastAsia"/>
          <w:sz w:val="32"/>
          <w:szCs w:val="32"/>
          <w:lang w:val="en-US" w:eastAsia="zh-CN"/>
        </w:rPr>
        <w:t>149.60</w:t>
      </w:r>
      <w:r>
        <w:rPr>
          <w:rFonts w:ascii="Times New Roman" w:eastAsia="方正仿宋简体" w:cs="方正仿宋简体" w:hAnsi="Times New Roman" w:hint="eastAsia"/>
          <w:sz w:val="32"/>
          <w:szCs w:val="32"/>
          <w:lang w:val="en-US" w:eastAsia="zh-CN"/>
        </w:rPr>
        <w:t>万元，占</w:t>
      </w:r>
      <w:r>
        <w:rPr>
          <w:rFonts w:eastAsia="方正仿宋简体" w:cs="方正仿宋简体" w:hint="eastAsia"/>
          <w:sz w:val="32"/>
          <w:szCs w:val="32"/>
          <w:lang w:val="en-US" w:eastAsia="zh-CN"/>
        </w:rPr>
        <w:t>8.47</w:t>
      </w:r>
      <w:r>
        <w:rPr>
          <w:rFonts w:ascii="Times New Roman" w:eastAsia="方正仿宋简体" w:cs="方正仿宋简体" w:hAnsi="Times New Roman" w:hint="eastAsia"/>
          <w:sz w:val="32"/>
          <w:szCs w:val="32"/>
          <w:lang w:val="en-US" w:eastAsia="zh-CN"/>
        </w:rPr>
        <w:t>%。</w:t>
      </w:r>
    </w:p>
    <w:p>
      <w:pPr>
        <w:spacing w:line="240" w:lineRule="auto"/>
        <w:ind w:firstLineChars="200" w:firstLine="640"/>
        <w:rPr>
          <w:rFonts w:eastAsia="宋体" w:hint="eastAsia"/>
          <w:lang w:eastAsia="zh-CN"/>
        </w:rPr>
      </w:pPr>
      <w:r>
        <w:rPr>
          <w:rFonts w:ascii="Times New Roman" w:hAnsi="Times New Roman" w:hint="eastAsia"/>
          <w:sz w:val="32"/>
          <w:szCs w:val="32"/>
          <w:lang w:val="en-US" w:eastAsia="zh-CN"/>
          <w:highlight w:val="auto"/>
        </w:rPr>
        <w:t xml:space="preserve">     </w:t>
      </w:r>
      <w:r>
        <w:rPr>
          <w:rFonts w:eastAsia="宋体" w:hint="eastAsia"/>
          <w:lang w:eastAsia="zh-CN"/>
        </w:rPr>
        <w:drawing>
          <wp:inline distT="0" distB="0" distL="114300" distR="114300">
            <wp:extent cx="4561840" cy="2856865"/>
            <wp:effectExtent l="0" t="0" r="0" b="0"/>
            <wp:docPr id="13" name="图片 16" descr="图片5"/>
            <wp:cNvGraphicFramePr>
              <a:graphicFrameLocks noChangeAspect="1"/>
            </wp:cNvGraphicFramePr>
            <a:graphic>
              <a:graphicData uri="http://schemas.openxmlformats.org/drawingml/2006/picture">
                <pic:pic>
                  <pic:nvPicPr>
                    <pic:cNvPr id="15" name="图片 16 15"/>
                    <pic:cNvPicPr/>
                  </pic:nvPicPr>
                  <pic:blipFill>
                    <a:blip r:embed="rId7"/>
                    <a:stretch>
                      <a:fillRect/>
                    </a:stretch>
                  </pic:blipFill>
                  <pic:spPr>
                    <a:xfrm rot="0">
                      <a:off x="0" y="0"/>
                      <a:ext cx="4561840" cy="2856865"/>
                    </a:xfrm>
                    <a:prstGeom prst="rect"/>
                    <a:noFill/>
                    <a:ln w="9525" cmpd="sng" cap="flat">
                      <a:noFill/>
                      <a:prstDash val="solid"/>
                      <a:miter/>
                    </a:ln>
                  </pic:spPr>
                </pic:pic>
              </a:graphicData>
            </a:graphic>
          </wp:inline>
        </w:drawing>
      </w:r>
    </w:p>
    <w:p>
      <w:pPr>
        <w:spacing w:line="560" w:lineRule="exact"/>
        <w:ind w:firstLineChars="200" w:firstLine="640"/>
        <w:jc w:val="left"/>
        <w:rPr>
          <w:rFonts w:ascii="Times New Roman" w:eastAsia="楷体" w:cs="楷体" w:hAnsi="Times New Roman" w:hint="eastAsia"/>
          <w:b/>
          <w:bCs/>
          <w:sz w:val="32"/>
          <w:szCs w:val="32"/>
          <w:lang w:val="zh-CN" w:eastAsia="zh-CN"/>
        </w:rPr>
      </w:pPr>
      <w:r>
        <w:rPr>
          <w:rFonts w:ascii="Times New Roman" w:eastAsia="楷体" w:cs="楷体" w:hAnsi="Times New Roman" w:hint="eastAsia"/>
          <w:b/>
          <w:bCs/>
          <w:sz w:val="32"/>
          <w:szCs w:val="32"/>
          <w:lang w:val="zh-CN" w:eastAsia="zh-CN"/>
        </w:rPr>
        <w:t>（三）一般公共预算当年财政拨款具体使用情况。</w:t>
      </w:r>
    </w:p>
    <w:p>
      <w:pPr>
        <w:pStyle w:val="15"/>
        <w:rPr>
          <w:rFonts w:hint="eastAsia"/>
          <w:lang w:eastAsia="zh-CN"/>
        </w:rPr>
      </w:pP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1．一般公共服务支出（类）海关事务（款）202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1053.24</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年执行数增加</w:t>
      </w:r>
      <w:r>
        <w:rPr>
          <w:rFonts w:eastAsia="方正仿宋简体" w:cs="方正仿宋简体" w:hint="eastAsia"/>
          <w:sz w:val="32"/>
          <w:szCs w:val="32"/>
          <w:lang w:val="en-US" w:eastAsia="zh-CN"/>
        </w:rPr>
        <w:t>88.68</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9.19</w:t>
      </w:r>
      <w:r>
        <w:rPr>
          <w:rFonts w:ascii="Times New Roman" w:eastAsia="方正仿宋简体" w:cs="方正仿宋简体" w:hAnsi="Times New Roman" w:hint="eastAsia"/>
          <w:sz w:val="32"/>
          <w:szCs w:val="32"/>
          <w:lang w:val="en-US" w:eastAsia="zh-CN"/>
        </w:rPr>
        <w:t>%，其中：</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（1）行政运行（项）202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891.20</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w:t>
      </w:r>
      <w:r>
        <w:rPr>
          <w:rFonts w:eastAsia="方正仿宋简体" w:cs="方正仿宋简体" w:hint="eastAsia"/>
          <w:sz w:val="32"/>
          <w:szCs w:val="32"/>
          <w:lang w:val="en-US" w:eastAsia="zh-CN"/>
        </w:rPr>
        <w:t>增加了98.44</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12.42</w:t>
      </w:r>
      <w:r>
        <w:rPr>
          <w:rFonts w:ascii="Times New Roman" w:eastAsia="方正仿宋简体" w:cs="方正仿宋简体" w:hAnsi="Times New Roman" w:hint="eastAsia"/>
          <w:sz w:val="32"/>
          <w:szCs w:val="32"/>
          <w:lang w:val="en-US" w:eastAsia="zh-CN"/>
        </w:rPr>
        <w:t>%。</w:t>
      </w:r>
    </w:p>
    <w:p>
      <w:pPr>
        <w:spacing w:line="560" w:lineRule="exact"/>
        <w:ind w:firstLineChars="200" w:firstLine="640"/>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（2）</w:t>
      </w:r>
      <w:r>
        <w:rPr>
          <w:rFonts w:ascii="Times New Roman" w:eastAsia="方正仿宋简体" w:cs="方正仿宋简体" w:hAnsi="Times New Roman" w:hint="eastAsia"/>
          <w:kern w:val="2"/>
          <w:sz w:val="32"/>
          <w:szCs w:val="32"/>
          <w:lang w:val="en-US" w:eastAsia="zh-CN" w:bidi="ar-SA"/>
        </w:rPr>
        <w:t>缉私办案（项）202</w:t>
      </w:r>
      <w:r>
        <w:rPr>
          <w:rFonts w:eastAsia="方正仿宋简体" w:cs="方正仿宋简体" w:hint="eastAsia"/>
          <w:kern w:val="2"/>
          <w:sz w:val="32"/>
          <w:szCs w:val="32"/>
          <w:lang w:val="en-US" w:eastAsia="zh-CN" w:bidi="ar-SA"/>
        </w:rPr>
        <w:t>5</w:t>
      </w:r>
      <w:r>
        <w:rPr>
          <w:rFonts w:ascii="Times New Roman" w:eastAsia="方正仿宋简体" w:cs="方正仿宋简体" w:hAnsi="Times New Roman" w:hint="eastAsia"/>
          <w:kern w:val="2"/>
          <w:sz w:val="32"/>
          <w:szCs w:val="32"/>
          <w:lang w:val="en-US" w:eastAsia="zh-CN" w:bidi="ar-SA"/>
        </w:rPr>
        <w:t>年预算</w:t>
      </w:r>
      <w:r>
        <w:rPr>
          <w:rFonts w:eastAsia="方正仿宋简体" w:cs="方正仿宋简体" w:hint="eastAsia"/>
          <w:kern w:val="2"/>
          <w:sz w:val="32"/>
          <w:szCs w:val="32"/>
          <w:lang w:val="en-US" w:eastAsia="zh-CN" w:bidi="ar-SA"/>
        </w:rPr>
        <w:t>0.00</w:t>
      </w:r>
      <w:r>
        <w:rPr>
          <w:rFonts w:ascii="Times New Roman" w:eastAsia="方正仿宋简体" w:cs="方正仿宋简体" w:hAnsi="Times New Roman" w:hint="eastAsia"/>
          <w:kern w:val="2"/>
          <w:sz w:val="32"/>
          <w:szCs w:val="32"/>
          <w:lang w:val="en-US" w:eastAsia="zh-CN" w:bidi="ar-SA"/>
        </w:rPr>
        <w:t>万元，比202</w:t>
      </w:r>
      <w:r>
        <w:rPr>
          <w:rFonts w:eastAsia="方正仿宋简体" w:cs="方正仿宋简体" w:hint="eastAsia"/>
          <w:kern w:val="2"/>
          <w:sz w:val="32"/>
          <w:szCs w:val="32"/>
          <w:lang w:val="en-US" w:eastAsia="zh-CN" w:bidi="ar-SA"/>
        </w:rPr>
        <w:t>4</w:t>
      </w:r>
      <w:r>
        <w:rPr>
          <w:rFonts w:ascii="Times New Roman" w:eastAsia="方正仿宋简体" w:cs="方正仿宋简体" w:hAnsi="Times New Roman" w:hint="eastAsia"/>
          <w:kern w:val="2"/>
          <w:sz w:val="32"/>
          <w:szCs w:val="32"/>
          <w:lang w:val="en-US" w:eastAsia="zh-CN" w:bidi="ar-SA"/>
        </w:rPr>
        <w:t>年执行数</w:t>
      </w:r>
      <w:r>
        <w:rPr>
          <w:rFonts w:ascii="Times New Roman" w:eastAsia="方正仿宋简体" w:cs="方正仿宋简体" w:hAnsi="Times New Roman" w:hint="eastAsia"/>
          <w:sz w:val="32"/>
          <w:szCs w:val="32"/>
          <w:lang w:val="en-US" w:eastAsia="zh-CN"/>
        </w:rPr>
        <w:t>减少</w:t>
      </w:r>
      <w:r>
        <w:rPr>
          <w:rFonts w:eastAsia="方正仿宋简体" w:cs="方正仿宋简体" w:hint="eastAsia"/>
          <w:kern w:val="2"/>
          <w:sz w:val="32"/>
          <w:szCs w:val="32"/>
          <w:lang w:val="en-US" w:eastAsia="zh-CN" w:bidi="ar-SA"/>
        </w:rPr>
        <w:t>了19.80</w:t>
      </w:r>
      <w:r>
        <w:rPr>
          <w:rFonts w:ascii="Times New Roman" w:eastAsia="方正仿宋简体" w:cs="方正仿宋简体" w:hAnsi="Times New Roman" w:hint="eastAsia"/>
          <w:kern w:val="2"/>
          <w:sz w:val="32"/>
          <w:szCs w:val="32"/>
          <w:lang w:val="en-US" w:eastAsia="zh-CN" w:bidi="ar-SA"/>
        </w:rPr>
        <w:t xml:space="preserve"> 万元，</w:t>
      </w:r>
      <w:r>
        <w:rPr>
          <w:rFonts w:eastAsia="方正仿宋简体" w:cs="方正仿宋简体" w:hint="eastAsia"/>
          <w:kern w:val="2"/>
          <w:sz w:val="32"/>
          <w:szCs w:val="32"/>
          <w:lang w:val="en-US" w:eastAsia="zh-CN" w:bidi="ar-SA"/>
        </w:rPr>
        <w:t>降低</w:t>
      </w:r>
      <w:r>
        <w:rPr>
          <w:rFonts w:eastAsia="方正仿宋简体" w:cs="方正仿宋简体" w:hint="eastAsia"/>
          <w:sz w:val="32"/>
          <w:szCs w:val="32"/>
          <w:lang w:val="en-US" w:eastAsia="zh-CN"/>
        </w:rPr>
        <w:t>100</w:t>
      </w:r>
      <w:r>
        <w:rPr>
          <w:rFonts w:ascii="Times New Roman" w:eastAsia="方正仿宋简体" w:cs="方正仿宋简体" w:hAnsi="Times New Roman" w:hint="eastAsia"/>
          <w:kern w:val="2"/>
          <w:sz w:val="32"/>
          <w:szCs w:val="32"/>
          <w:lang w:val="en-US" w:eastAsia="zh-CN" w:bidi="ar-SA"/>
        </w:rPr>
        <w:t>%。主要是</w:t>
      </w:r>
      <w:r>
        <w:rPr>
          <w:rFonts w:eastAsia="方正仿宋简体" w:cs="方正仿宋简体" w:hint="eastAsia"/>
          <w:kern w:val="2"/>
          <w:sz w:val="32"/>
          <w:szCs w:val="32"/>
          <w:lang w:val="en-US" w:eastAsia="zh-CN" w:bidi="ar-SA"/>
        </w:rPr>
        <w:t>因为上年为缉私警察更新执勤执法车辆。</w:t>
      </w:r>
    </w:p>
    <w:p>
      <w:pPr>
        <w:spacing w:line="560" w:lineRule="exact"/>
        <w:ind w:firstLineChars="200" w:firstLine="640"/>
        <w:rPr>
          <w:rFonts w:ascii="Times New Roman" w:eastAsia="方正仿宋简体" w:cs="方正仿宋简体" w:hAnsi="Times New Roman" w:hint="eastAsia"/>
          <w:kern w:val="2"/>
          <w:sz w:val="32"/>
          <w:szCs w:val="32"/>
          <w:lang w:val="en-US" w:eastAsia="zh-CN" w:bidi="ar-SA"/>
        </w:rPr>
      </w:pPr>
      <w:r>
        <w:rPr>
          <w:rFonts w:eastAsia="方正仿宋简体" w:cs="方正仿宋简体" w:hint="eastAsia"/>
          <w:sz w:val="32"/>
          <w:szCs w:val="32"/>
          <w:lang w:val="en-US" w:eastAsia="zh-CN"/>
        </w:rPr>
        <w:t>（3）</w:t>
      </w:r>
      <w:r>
        <w:rPr>
          <w:rFonts w:eastAsia="方正仿宋简体" w:cs="方正仿宋简体" w:hint="eastAsia"/>
          <w:kern w:val="2"/>
          <w:sz w:val="32"/>
          <w:szCs w:val="32"/>
          <w:lang w:val="en-US" w:eastAsia="zh-CN" w:bidi="ar-SA"/>
        </w:rPr>
        <w:t>海关关务</w:t>
      </w:r>
      <w:r>
        <w:rPr>
          <w:rFonts w:ascii="Times New Roman" w:eastAsia="方正仿宋简体" w:cs="方正仿宋简体" w:hAnsi="Times New Roman" w:hint="eastAsia"/>
          <w:kern w:val="2"/>
          <w:sz w:val="32"/>
          <w:szCs w:val="32"/>
          <w:lang w:val="en-US" w:eastAsia="zh-CN" w:bidi="ar-SA"/>
        </w:rPr>
        <w:t>（项）202</w:t>
      </w:r>
      <w:r>
        <w:rPr>
          <w:rFonts w:eastAsia="方正仿宋简体" w:cs="方正仿宋简体" w:hint="eastAsia"/>
          <w:kern w:val="2"/>
          <w:sz w:val="32"/>
          <w:szCs w:val="32"/>
          <w:lang w:val="en-US" w:eastAsia="zh-CN" w:bidi="ar-SA"/>
        </w:rPr>
        <w:t>5</w:t>
      </w:r>
      <w:r>
        <w:rPr>
          <w:rFonts w:ascii="Times New Roman" w:eastAsia="方正仿宋简体" w:cs="方正仿宋简体" w:hAnsi="Times New Roman" w:hint="eastAsia"/>
          <w:kern w:val="2"/>
          <w:sz w:val="32"/>
          <w:szCs w:val="32"/>
          <w:lang w:val="en-US" w:eastAsia="zh-CN" w:bidi="ar-SA"/>
        </w:rPr>
        <w:t>年预算</w:t>
      </w:r>
      <w:r>
        <w:rPr>
          <w:rFonts w:eastAsia="方正仿宋简体" w:cs="方正仿宋简体" w:hint="eastAsia"/>
          <w:kern w:val="2"/>
          <w:sz w:val="32"/>
          <w:szCs w:val="32"/>
          <w:lang w:val="en-US" w:eastAsia="zh-CN" w:bidi="ar-SA"/>
        </w:rPr>
        <w:t>142.14</w:t>
      </w:r>
      <w:r>
        <w:rPr>
          <w:rFonts w:ascii="Times New Roman" w:eastAsia="方正仿宋简体" w:cs="方正仿宋简体" w:hAnsi="Times New Roman" w:hint="eastAsia"/>
          <w:kern w:val="2"/>
          <w:sz w:val="32"/>
          <w:szCs w:val="32"/>
          <w:lang w:val="en-US" w:eastAsia="zh-CN" w:bidi="ar-SA"/>
        </w:rPr>
        <w:t>万元，比202</w:t>
      </w:r>
      <w:r>
        <w:rPr>
          <w:rFonts w:eastAsia="方正仿宋简体" w:cs="方正仿宋简体" w:hint="eastAsia"/>
          <w:kern w:val="2"/>
          <w:sz w:val="32"/>
          <w:szCs w:val="32"/>
          <w:lang w:val="en-US" w:eastAsia="zh-CN" w:bidi="ar-SA"/>
        </w:rPr>
        <w:t>4</w:t>
      </w:r>
      <w:r>
        <w:rPr>
          <w:rFonts w:ascii="Times New Roman" w:eastAsia="方正仿宋简体" w:cs="方正仿宋简体" w:hAnsi="Times New Roman" w:hint="eastAsia"/>
          <w:kern w:val="2"/>
          <w:sz w:val="32"/>
          <w:szCs w:val="32"/>
          <w:lang w:val="en-US" w:eastAsia="zh-CN" w:bidi="ar-SA"/>
        </w:rPr>
        <w:t>年执行数增加</w:t>
      </w:r>
      <w:r>
        <w:rPr>
          <w:rFonts w:eastAsia="方正仿宋简体" w:cs="方正仿宋简体" w:hint="eastAsia"/>
          <w:kern w:val="2"/>
          <w:sz w:val="32"/>
          <w:szCs w:val="32"/>
          <w:lang w:val="en-US" w:eastAsia="zh-CN" w:bidi="ar-SA"/>
        </w:rPr>
        <w:t>15.14</w:t>
      </w:r>
      <w:r>
        <w:rPr>
          <w:rFonts w:ascii="Times New Roman" w:eastAsia="方正仿宋简体" w:cs="方正仿宋简体" w:hAnsi="Times New Roman" w:hint="eastAsia"/>
          <w:kern w:val="2"/>
          <w:sz w:val="32"/>
          <w:szCs w:val="32"/>
          <w:lang w:val="en-US" w:eastAsia="zh-CN" w:bidi="ar-SA"/>
        </w:rPr>
        <w:t>万元，增长</w:t>
      </w:r>
      <w:r>
        <w:rPr>
          <w:rFonts w:eastAsia="方正仿宋简体" w:cs="方正仿宋简体" w:hint="eastAsia"/>
          <w:kern w:val="2"/>
          <w:sz w:val="32"/>
          <w:szCs w:val="32"/>
          <w:lang w:val="en-US" w:eastAsia="zh-CN" w:bidi="ar-SA"/>
        </w:rPr>
        <w:t>11.92</w:t>
      </w:r>
      <w:r>
        <w:rPr>
          <w:rFonts w:ascii="Times New Roman" w:eastAsia="方正仿宋简体" w:cs="方正仿宋简体" w:hAnsi="Times New Roman" w:hint="eastAsia"/>
          <w:kern w:val="2"/>
          <w:sz w:val="32"/>
          <w:szCs w:val="32"/>
          <w:lang w:val="en-US" w:eastAsia="zh-CN" w:bidi="ar-SA"/>
        </w:rPr>
        <w:t>%。主要是艰苦地区边关综合保障经费支出增加。</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）海关监管（项）202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7.90</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年执行数减少</w:t>
      </w:r>
      <w:r>
        <w:rPr>
          <w:rFonts w:eastAsia="方正仿宋简体" w:cs="方正仿宋简体" w:hint="eastAsia"/>
          <w:sz w:val="32"/>
          <w:szCs w:val="32"/>
          <w:lang w:val="en-US" w:eastAsia="zh-CN"/>
        </w:rPr>
        <w:t>11.60</w:t>
      </w:r>
      <w:r>
        <w:rPr>
          <w:rFonts w:ascii="Times New Roman" w:eastAsia="方正仿宋简体" w:cs="方正仿宋简体" w:hAnsi="Times New Roman" w:hint="eastAsia"/>
          <w:sz w:val="32"/>
          <w:szCs w:val="32"/>
          <w:lang w:val="en-US" w:eastAsia="zh-CN"/>
        </w:rPr>
        <w:t>万元，降低</w:t>
      </w:r>
      <w:r>
        <w:rPr>
          <w:rFonts w:eastAsia="方正仿宋简体" w:cs="方正仿宋简体" w:hint="eastAsia"/>
          <w:sz w:val="32"/>
          <w:szCs w:val="32"/>
          <w:lang w:val="en-US" w:eastAsia="zh-CN"/>
        </w:rPr>
        <w:t>59.49</w:t>
      </w:r>
      <w:r>
        <w:rPr>
          <w:rFonts w:ascii="Times New Roman" w:eastAsia="方正仿宋简体" w:cs="方正仿宋简体" w:hAnsi="Times New Roman" w:hint="eastAsia"/>
          <w:sz w:val="32"/>
          <w:szCs w:val="32"/>
          <w:lang w:val="en-US" w:eastAsia="zh-CN"/>
        </w:rPr>
        <w:t>%。主要是海关监管</w:t>
      </w:r>
      <w:r>
        <w:rPr>
          <w:rFonts w:eastAsia="方正仿宋简体" w:cs="方正仿宋简体" w:hint="eastAsia"/>
          <w:sz w:val="32"/>
          <w:szCs w:val="32"/>
          <w:lang w:val="en-US" w:eastAsia="zh-CN"/>
        </w:rPr>
        <w:t>设备购置</w:t>
      </w:r>
      <w:r>
        <w:rPr>
          <w:rFonts w:ascii="Times New Roman" w:eastAsia="方正仿宋简体" w:cs="方正仿宋简体" w:hAnsi="Times New Roman" w:hint="eastAsia"/>
          <w:sz w:val="32"/>
          <w:szCs w:val="32"/>
          <w:lang w:val="en-US" w:eastAsia="zh-CN"/>
        </w:rPr>
        <w:t>支出</w:t>
      </w:r>
      <w:r>
        <w:rPr>
          <w:rFonts w:eastAsia="方正仿宋简体" w:cs="方正仿宋简体" w:hint="eastAsia"/>
          <w:sz w:val="32"/>
          <w:szCs w:val="32"/>
          <w:lang w:val="en-US" w:eastAsia="zh-CN"/>
        </w:rPr>
        <w:t>减少</w:t>
      </w:r>
      <w:r>
        <w:rPr>
          <w:rFonts w:ascii="Times New Roman" w:eastAsia="方正仿宋简体" w:cs="方正仿宋简体" w:hAnsi="Times New Roman" w:hint="eastAsia"/>
          <w:sz w:val="32"/>
          <w:szCs w:val="32"/>
          <w:lang w:val="en-US" w:eastAsia="zh-CN"/>
        </w:rPr>
        <w:t>。</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）检验检疫（项）202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12.00</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年执行数增加</w:t>
      </w:r>
      <w:r>
        <w:rPr>
          <w:rFonts w:eastAsia="方正仿宋简体" w:cs="方正仿宋简体" w:hint="eastAsia"/>
          <w:sz w:val="32"/>
          <w:szCs w:val="32"/>
          <w:lang w:val="en-US" w:eastAsia="zh-CN"/>
        </w:rPr>
        <w:t>6.50</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118.18</w:t>
      </w:r>
      <w:r>
        <w:rPr>
          <w:rFonts w:ascii="Times New Roman" w:eastAsia="方正仿宋简体" w:cs="方正仿宋简体" w:hAnsi="Times New Roman" w:hint="eastAsia"/>
          <w:sz w:val="32"/>
          <w:szCs w:val="32"/>
          <w:lang w:val="en-US" w:eastAsia="zh-CN"/>
        </w:rPr>
        <w:t>%。主要是</w:t>
      </w:r>
      <w:r>
        <w:rPr>
          <w:rFonts w:eastAsia="方正仿宋简体" w:cs="方正仿宋简体" w:hint="eastAsia"/>
          <w:sz w:val="32"/>
          <w:szCs w:val="32"/>
          <w:lang w:val="en-US" w:eastAsia="zh-CN"/>
        </w:rPr>
        <w:t>增加了</w:t>
      </w:r>
      <w:r>
        <w:rPr>
          <w:rFonts w:ascii="Times New Roman" w:eastAsia="方正仿宋简体" w:cs="方正仿宋简体" w:hAnsi="Times New Roman" w:hint="eastAsia"/>
          <w:sz w:val="32"/>
          <w:szCs w:val="32"/>
          <w:lang w:val="en-US" w:eastAsia="zh-CN"/>
        </w:rPr>
        <w:t>进出口商品质量安全检验监管专项。</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2．公共安全支出（类）缉私警察（款）202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347.09</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年执行数增加</w:t>
      </w:r>
      <w:r>
        <w:rPr>
          <w:rFonts w:eastAsia="方正仿宋简体" w:cs="方正仿宋简体" w:hint="eastAsia"/>
          <w:sz w:val="32"/>
          <w:szCs w:val="32"/>
          <w:lang w:val="en-US" w:eastAsia="zh-CN"/>
        </w:rPr>
        <w:t>31.54</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10.00</w:t>
      </w:r>
      <w:r>
        <w:rPr>
          <w:rFonts w:ascii="Times New Roman" w:eastAsia="方正仿宋简体" w:cs="方正仿宋简体" w:hAnsi="Times New Roman" w:hint="eastAsia"/>
          <w:sz w:val="32"/>
          <w:szCs w:val="32"/>
          <w:lang w:val="en-US" w:eastAsia="zh-CN"/>
        </w:rPr>
        <w:t>%。主要是</w:t>
      </w:r>
      <w:r>
        <w:rPr>
          <w:rFonts w:eastAsia="方正仿宋简体" w:cs="方正仿宋简体" w:hint="eastAsia"/>
          <w:sz w:val="32"/>
          <w:szCs w:val="32"/>
          <w:lang w:val="en-US" w:eastAsia="zh-CN"/>
        </w:rPr>
        <w:t>公共安全</w:t>
      </w:r>
      <w:r>
        <w:rPr>
          <w:rFonts w:ascii="Times New Roman" w:eastAsia="方正仿宋简体" w:cs="方正仿宋简体" w:hAnsi="Times New Roman" w:hint="eastAsia"/>
          <w:sz w:val="32"/>
          <w:szCs w:val="32"/>
          <w:lang w:val="en-US" w:eastAsia="zh-CN"/>
        </w:rPr>
        <w:t>支出增加。</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3．社会保障和就业支出（类）行政事业单位养老支出（款）202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152.45</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w:t>
      </w:r>
      <w:r>
        <w:rPr>
          <w:rFonts w:eastAsia="方正仿宋简体" w:cs="方正仿宋简体" w:hint="eastAsia"/>
          <w:sz w:val="32"/>
          <w:szCs w:val="32"/>
          <w:lang w:val="en-US" w:eastAsia="zh-CN"/>
        </w:rPr>
        <w:t>增加26.57</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21.11</w:t>
      </w:r>
      <w:r>
        <w:rPr>
          <w:rFonts w:ascii="Times New Roman" w:eastAsia="方正仿宋简体" w:cs="方正仿宋简体" w:hAnsi="Times New Roman" w:hint="eastAsia"/>
          <w:sz w:val="32"/>
          <w:szCs w:val="32"/>
          <w:lang w:val="en-US" w:eastAsia="zh-CN"/>
        </w:rPr>
        <w:t>%。其中：</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（1）行政单位离退休（项）202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26.83</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w:t>
      </w:r>
      <w:r>
        <w:rPr>
          <w:rFonts w:eastAsia="方正仿宋简体" w:cs="方正仿宋简体" w:hint="eastAsia"/>
          <w:sz w:val="32"/>
          <w:szCs w:val="32"/>
          <w:lang w:val="en-US" w:eastAsia="zh-CN"/>
        </w:rPr>
        <w:t>增加7.21</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36.75</w:t>
      </w:r>
      <w:r>
        <w:rPr>
          <w:rFonts w:ascii="Times New Roman" w:eastAsia="方正仿宋简体" w:cs="方正仿宋简体" w:hAnsi="Times New Roman" w:hint="eastAsia"/>
          <w:sz w:val="32"/>
          <w:szCs w:val="32"/>
          <w:lang w:val="en-US" w:eastAsia="zh-CN"/>
        </w:rPr>
        <w:t>%。主要是行政单位离退休经费</w:t>
      </w:r>
      <w:r>
        <w:rPr>
          <w:rFonts w:eastAsia="方正仿宋简体" w:cs="方正仿宋简体" w:hint="eastAsia"/>
          <w:sz w:val="32"/>
          <w:szCs w:val="32"/>
          <w:lang w:val="en-US" w:eastAsia="zh-CN"/>
        </w:rPr>
        <w:t>增加</w:t>
      </w:r>
      <w:r>
        <w:rPr>
          <w:rFonts w:ascii="Times New Roman" w:eastAsia="方正仿宋简体" w:cs="方正仿宋简体" w:hAnsi="Times New Roman" w:hint="eastAsia"/>
          <w:sz w:val="32"/>
          <w:szCs w:val="32"/>
          <w:lang w:val="en-US" w:eastAsia="zh-CN"/>
        </w:rPr>
        <w:t>。</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（2）机关事业单位基本养老保险缴费支出（项）202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83.75</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w:t>
      </w:r>
      <w:r>
        <w:rPr>
          <w:rFonts w:eastAsia="方正仿宋简体" w:cs="方正仿宋简体" w:hint="eastAsia"/>
          <w:sz w:val="32"/>
          <w:szCs w:val="32"/>
          <w:lang w:val="en-US" w:eastAsia="zh-CN"/>
        </w:rPr>
        <w:t>增加12.91</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18.22</w:t>
      </w:r>
      <w:r>
        <w:rPr>
          <w:rFonts w:ascii="Times New Roman" w:eastAsia="方正仿宋简体" w:cs="方正仿宋简体" w:hAnsi="Times New Roman" w:hint="eastAsia"/>
          <w:sz w:val="32"/>
          <w:szCs w:val="32"/>
          <w:lang w:val="en-US" w:eastAsia="zh-CN"/>
        </w:rPr>
        <w:t>%。主要是基本养老保险单位缴费</w:t>
      </w:r>
      <w:r>
        <w:rPr>
          <w:rFonts w:eastAsia="方正仿宋简体" w:cs="方正仿宋简体" w:hint="eastAsia"/>
          <w:sz w:val="32"/>
          <w:szCs w:val="32"/>
          <w:lang w:val="en-US" w:eastAsia="zh-CN"/>
        </w:rPr>
        <w:t>支出增加</w:t>
      </w:r>
      <w:r>
        <w:rPr>
          <w:rFonts w:ascii="Times New Roman" w:eastAsia="方正仿宋简体" w:cs="方正仿宋简体" w:hAnsi="Times New Roman" w:hint="eastAsia"/>
          <w:sz w:val="32"/>
          <w:szCs w:val="32"/>
          <w:lang w:val="en-US" w:eastAsia="zh-CN"/>
        </w:rPr>
        <w:t>。</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（3）机关事业单位职业年金缴费支出（项）202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41.87</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w:t>
      </w:r>
      <w:r>
        <w:rPr>
          <w:rFonts w:eastAsia="方正仿宋简体" w:cs="方正仿宋简体" w:hint="eastAsia"/>
          <w:sz w:val="32"/>
          <w:szCs w:val="32"/>
          <w:lang w:val="en-US" w:eastAsia="zh-CN"/>
        </w:rPr>
        <w:t>增加6.45</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18.21</w:t>
      </w:r>
      <w:r>
        <w:rPr>
          <w:rFonts w:ascii="Times New Roman" w:eastAsia="方正仿宋简体" w:cs="方正仿宋简体" w:hAnsi="Times New Roman" w:hint="eastAsia"/>
          <w:sz w:val="32"/>
          <w:szCs w:val="32"/>
          <w:lang w:val="en-US" w:eastAsia="zh-CN"/>
        </w:rPr>
        <w:t>%。主要是职业年金单位缴费</w:t>
      </w:r>
      <w:r>
        <w:rPr>
          <w:rFonts w:eastAsia="方正仿宋简体" w:cs="方正仿宋简体" w:hint="eastAsia"/>
          <w:sz w:val="32"/>
          <w:szCs w:val="32"/>
          <w:lang w:val="en-US" w:eastAsia="zh-CN"/>
        </w:rPr>
        <w:t>支出增加</w:t>
      </w:r>
      <w:r>
        <w:rPr>
          <w:rFonts w:ascii="Times New Roman" w:eastAsia="方正仿宋简体" w:cs="方正仿宋简体" w:hAnsi="Times New Roman" w:hint="eastAsia"/>
          <w:sz w:val="32"/>
          <w:szCs w:val="32"/>
          <w:lang w:val="en-US" w:eastAsia="zh-CN"/>
        </w:rPr>
        <w:t>。</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4．卫生健康支出（类）行政事业单位医疗（款）202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63.91</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年执行数减少</w:t>
      </w:r>
      <w:r>
        <w:rPr>
          <w:rFonts w:eastAsia="方正仿宋简体" w:cs="方正仿宋简体" w:hint="eastAsia"/>
          <w:sz w:val="32"/>
          <w:szCs w:val="32"/>
          <w:lang w:val="en-US" w:eastAsia="zh-CN"/>
        </w:rPr>
        <w:t>5.01</w:t>
      </w:r>
      <w:r>
        <w:rPr>
          <w:rFonts w:ascii="Times New Roman" w:eastAsia="方正仿宋简体" w:cs="方正仿宋简体" w:hAnsi="Times New Roman" w:hint="eastAsia"/>
          <w:sz w:val="32"/>
          <w:szCs w:val="32"/>
          <w:lang w:val="en-US" w:eastAsia="zh-CN"/>
        </w:rPr>
        <w:t>万元，</w:t>
      </w:r>
      <w:r>
        <w:rPr>
          <w:rFonts w:eastAsia="方正仿宋简体" w:cs="方正仿宋简体" w:hint="eastAsia"/>
          <w:sz w:val="32"/>
          <w:szCs w:val="32"/>
          <w:lang w:val="en-US" w:eastAsia="zh-CN"/>
        </w:rPr>
        <w:t>降低7.27</w:t>
      </w:r>
      <w:r>
        <w:rPr>
          <w:rFonts w:ascii="Times New Roman" w:eastAsia="方正仿宋简体" w:cs="方正仿宋简体" w:hAnsi="Times New Roman" w:hint="eastAsia"/>
          <w:sz w:val="32"/>
          <w:szCs w:val="32"/>
          <w:lang w:val="en-US" w:eastAsia="zh-CN"/>
        </w:rPr>
        <w:t>%。其中：</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（1）行政单位医疗（项）202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42.54</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年执行数减少</w:t>
      </w:r>
      <w:r>
        <w:rPr>
          <w:rFonts w:eastAsia="方正仿宋简体" w:cs="方正仿宋简体" w:hint="eastAsia"/>
          <w:sz w:val="32"/>
          <w:szCs w:val="32"/>
          <w:lang w:val="en-US" w:eastAsia="zh-CN"/>
        </w:rPr>
        <w:t>0.82</w:t>
      </w:r>
      <w:r>
        <w:rPr>
          <w:rFonts w:ascii="Times New Roman" w:eastAsia="方正仿宋简体" w:cs="方正仿宋简体" w:hAnsi="Times New Roman" w:hint="eastAsia"/>
          <w:sz w:val="32"/>
          <w:szCs w:val="32"/>
          <w:lang w:val="en-US" w:eastAsia="zh-CN"/>
        </w:rPr>
        <w:t>万元，</w:t>
      </w:r>
      <w:r>
        <w:rPr>
          <w:rFonts w:eastAsia="方正仿宋简体" w:cs="方正仿宋简体" w:hint="eastAsia"/>
          <w:sz w:val="32"/>
          <w:szCs w:val="32"/>
          <w:lang w:val="en-US" w:eastAsia="zh-CN"/>
        </w:rPr>
        <w:t>降低1.89</w:t>
      </w:r>
      <w:r>
        <w:rPr>
          <w:rFonts w:ascii="Times New Roman" w:eastAsia="方正仿宋简体" w:cs="方正仿宋简体" w:hAnsi="Times New Roman" w:hint="eastAsia"/>
          <w:sz w:val="32"/>
          <w:szCs w:val="32"/>
          <w:lang w:val="en-US" w:eastAsia="zh-CN"/>
        </w:rPr>
        <w:t>%。主要是</w:t>
      </w:r>
      <w:r>
        <w:rPr>
          <w:rFonts w:eastAsia="方正仿宋简体" w:cs="方正仿宋简体" w:hint="eastAsia"/>
          <w:sz w:val="32"/>
          <w:szCs w:val="32"/>
          <w:lang w:val="en-US" w:eastAsia="zh-CN"/>
        </w:rPr>
        <w:t>压缩了</w:t>
      </w:r>
      <w:r>
        <w:rPr>
          <w:rFonts w:ascii="Times New Roman" w:eastAsia="方正仿宋简体" w:cs="方正仿宋简体" w:hAnsi="Times New Roman" w:hint="eastAsia"/>
          <w:sz w:val="32"/>
          <w:szCs w:val="32"/>
          <w:lang w:val="en-US" w:eastAsia="zh-CN"/>
        </w:rPr>
        <w:t>行政单位医疗经费。</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（2）公务员医疗补助（项）202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20.39</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年执行数减少</w:t>
      </w:r>
      <w:r>
        <w:rPr>
          <w:rFonts w:eastAsia="方正仿宋简体" w:cs="方正仿宋简体" w:hint="eastAsia"/>
          <w:sz w:val="32"/>
          <w:szCs w:val="32"/>
          <w:lang w:val="en-US" w:eastAsia="zh-CN"/>
        </w:rPr>
        <w:t>4.09</w:t>
      </w:r>
      <w:r>
        <w:rPr>
          <w:rFonts w:ascii="Times New Roman" w:eastAsia="方正仿宋简体" w:cs="方正仿宋简体" w:hAnsi="Times New Roman" w:hint="eastAsia"/>
          <w:sz w:val="32"/>
          <w:szCs w:val="32"/>
          <w:lang w:val="en-US" w:eastAsia="zh-CN"/>
        </w:rPr>
        <w:t>万元，</w:t>
      </w:r>
      <w:r>
        <w:rPr>
          <w:rFonts w:eastAsia="方正仿宋简体" w:cs="方正仿宋简体" w:hint="eastAsia"/>
          <w:sz w:val="32"/>
          <w:szCs w:val="32"/>
          <w:lang w:val="en-US" w:eastAsia="zh-CN"/>
        </w:rPr>
        <w:t>降低16.71</w:t>
      </w:r>
      <w:r>
        <w:rPr>
          <w:rFonts w:ascii="Times New Roman" w:eastAsia="方正仿宋简体" w:cs="方正仿宋简体" w:hAnsi="Times New Roman" w:hint="eastAsia"/>
          <w:sz w:val="32"/>
          <w:szCs w:val="32"/>
          <w:lang w:val="en-US" w:eastAsia="zh-CN"/>
        </w:rPr>
        <w:t>%。主要是</w:t>
      </w:r>
      <w:r>
        <w:rPr>
          <w:rFonts w:eastAsia="方正仿宋简体" w:cs="方正仿宋简体" w:hint="eastAsia"/>
          <w:sz w:val="32"/>
          <w:szCs w:val="32"/>
          <w:lang w:val="en-US" w:eastAsia="zh-CN"/>
        </w:rPr>
        <w:t>压缩了</w:t>
      </w:r>
      <w:r>
        <w:rPr>
          <w:rFonts w:ascii="Times New Roman" w:eastAsia="方正仿宋简体" w:cs="方正仿宋简体" w:hAnsi="Times New Roman" w:hint="eastAsia"/>
          <w:sz w:val="32"/>
          <w:szCs w:val="32"/>
          <w:lang w:val="en-US" w:eastAsia="zh-CN"/>
        </w:rPr>
        <w:t>公务员医疗补助经费。</w:t>
      </w:r>
    </w:p>
    <w:p>
      <w:pPr>
        <w:spacing w:line="560" w:lineRule="exact"/>
        <w:ind w:firstLineChars="200" w:firstLine="640"/>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（3）</w:t>
      </w:r>
      <w:r>
        <w:rPr>
          <w:rFonts w:eastAsia="方正仿宋简体" w:cs="方正仿宋简体"/>
          <w:sz w:val="32"/>
          <w:szCs w:val="32"/>
        </w:rPr>
        <w:t>其</w:t>
      </w:r>
      <w:r>
        <w:rPr>
          <w:rFonts w:eastAsia="方正仿宋简体" w:cs="方正仿宋简体" w:hint="eastAsia"/>
          <w:sz w:val="32"/>
          <w:szCs w:val="32"/>
        </w:rPr>
        <w:t>他</w:t>
      </w:r>
      <w:r>
        <w:rPr>
          <w:rFonts w:ascii="Times New Roman" w:eastAsia="方正仿宋简体" w:cs="方正仿宋简体" w:hAnsi="Times New Roman" w:hint="eastAsia"/>
          <w:sz w:val="32"/>
          <w:szCs w:val="32"/>
          <w:lang w:val="en-US" w:eastAsia="zh-CN"/>
        </w:rPr>
        <w:t>行政事业单位医疗支出（项）202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0.98</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w:t>
      </w:r>
      <w:r>
        <w:rPr>
          <w:rFonts w:eastAsia="方正仿宋简体" w:cs="方正仿宋简体" w:hint="eastAsia"/>
          <w:sz w:val="32"/>
          <w:szCs w:val="32"/>
          <w:lang w:val="en-US" w:eastAsia="zh-CN"/>
        </w:rPr>
        <w:t>减少0.10</w:t>
      </w:r>
      <w:r>
        <w:rPr>
          <w:rFonts w:ascii="Times New Roman" w:eastAsia="方正仿宋简体" w:cs="方正仿宋简体" w:hAnsi="Times New Roman" w:hint="eastAsia"/>
          <w:sz w:val="32"/>
          <w:szCs w:val="32"/>
          <w:lang w:val="en-US" w:eastAsia="zh-CN"/>
        </w:rPr>
        <w:t>万元，</w:t>
      </w:r>
      <w:r>
        <w:rPr>
          <w:rFonts w:eastAsia="方正仿宋简体" w:cs="方正仿宋简体" w:hint="eastAsia"/>
          <w:sz w:val="32"/>
          <w:szCs w:val="32"/>
          <w:lang w:val="en-US" w:eastAsia="zh-CN"/>
        </w:rPr>
        <w:t>降低9.26</w:t>
      </w:r>
      <w:r>
        <w:rPr>
          <w:rFonts w:ascii="Times New Roman" w:eastAsia="方正仿宋简体" w:cs="方正仿宋简体" w:hAnsi="Times New Roman" w:hint="eastAsia"/>
          <w:sz w:val="32"/>
          <w:szCs w:val="32"/>
          <w:lang w:val="en-US" w:eastAsia="zh-CN"/>
        </w:rPr>
        <w:t>%，</w:t>
      </w:r>
      <w:r>
        <w:rPr>
          <w:rFonts w:eastAsia="方正仿宋简体" w:cs="方正仿宋简体" w:hint="eastAsia"/>
          <w:sz w:val="32"/>
          <w:szCs w:val="32"/>
          <w:lang w:val="en-US" w:eastAsia="zh-CN"/>
        </w:rPr>
        <w:t>主要</w:t>
      </w:r>
      <w:r>
        <w:rPr>
          <w:rFonts w:ascii="Times New Roman" w:eastAsia="方正仿宋简体" w:cs="方正仿宋简体" w:hAnsi="Times New Roman" w:hint="eastAsia"/>
          <w:sz w:val="32"/>
          <w:szCs w:val="32"/>
          <w:lang w:val="en-US" w:eastAsia="zh-CN"/>
        </w:rPr>
        <w:t>是其他行政事业单位医疗支出减少。</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5．住房保障支出（类）住房改革支出（款）202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149.60</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年执行数增加</w:t>
      </w:r>
      <w:r>
        <w:rPr>
          <w:rFonts w:eastAsia="方正仿宋简体" w:cs="方正仿宋简体" w:hint="eastAsia"/>
          <w:sz w:val="32"/>
          <w:szCs w:val="32"/>
          <w:lang w:val="en-US" w:eastAsia="zh-CN"/>
        </w:rPr>
        <w:t>1.02</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0.69</w:t>
      </w:r>
      <w:r>
        <w:rPr>
          <w:rFonts w:ascii="Times New Roman" w:eastAsia="方正仿宋简体" w:cs="方正仿宋简体" w:hAnsi="Times New Roman" w:hint="eastAsia"/>
          <w:sz w:val="32"/>
          <w:szCs w:val="32"/>
          <w:lang w:val="en-US" w:eastAsia="zh-CN"/>
        </w:rPr>
        <w:t>%。其中：</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（1）住房公积金（项）202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87.00</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w:t>
      </w:r>
      <w:r>
        <w:rPr>
          <w:rFonts w:eastAsia="方正仿宋简体" w:cs="方正仿宋简体" w:hint="eastAsia"/>
          <w:sz w:val="32"/>
          <w:szCs w:val="32"/>
          <w:lang w:val="en-US" w:eastAsia="zh-CN"/>
        </w:rPr>
        <w:t>减少11.72</w:t>
      </w:r>
      <w:r>
        <w:rPr>
          <w:rFonts w:ascii="Times New Roman" w:eastAsia="方正仿宋简体" w:cs="方正仿宋简体" w:hAnsi="Times New Roman" w:hint="eastAsia"/>
          <w:sz w:val="32"/>
          <w:szCs w:val="32"/>
          <w:lang w:val="en-US" w:eastAsia="zh-CN"/>
        </w:rPr>
        <w:t>万元，</w:t>
      </w:r>
      <w:r>
        <w:rPr>
          <w:rFonts w:eastAsia="方正仿宋简体" w:cs="方正仿宋简体" w:hint="eastAsia"/>
          <w:sz w:val="32"/>
          <w:szCs w:val="32"/>
          <w:lang w:val="en-US" w:eastAsia="zh-CN"/>
        </w:rPr>
        <w:t>降低11.87</w:t>
      </w:r>
      <w:r>
        <w:rPr>
          <w:rFonts w:ascii="Times New Roman" w:eastAsia="方正仿宋简体" w:cs="方正仿宋简体" w:hAnsi="Times New Roman" w:hint="eastAsia"/>
          <w:sz w:val="32"/>
          <w:szCs w:val="32"/>
          <w:lang w:val="en-US" w:eastAsia="zh-CN"/>
        </w:rPr>
        <w:t>%。</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（2）购房补贴（项）202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62.60</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年执行数增加</w:t>
      </w:r>
      <w:r>
        <w:rPr>
          <w:rFonts w:eastAsia="方正仿宋简体" w:cs="方正仿宋简体" w:hint="eastAsia"/>
          <w:sz w:val="32"/>
          <w:szCs w:val="32"/>
          <w:lang w:val="en-US" w:eastAsia="zh-CN"/>
        </w:rPr>
        <w:t>12.74</w:t>
      </w:r>
      <w:r>
        <w:rPr>
          <w:rFonts w:ascii="Times New Roman" w:eastAsia="方正仿宋简体" w:cs="方正仿宋简体" w:hAnsi="Times New Roman" w:hint="eastAsia"/>
          <w:sz w:val="32"/>
          <w:szCs w:val="32"/>
          <w:lang w:val="en-US" w:eastAsia="zh-CN"/>
        </w:rPr>
        <w:t>万元，增长</w:t>
      </w:r>
      <w:r>
        <w:rPr>
          <w:rFonts w:eastAsia="方正仿宋简体" w:cs="方正仿宋简体" w:hint="eastAsia"/>
          <w:sz w:val="32"/>
          <w:szCs w:val="32"/>
          <w:lang w:val="en-US" w:eastAsia="zh-CN"/>
        </w:rPr>
        <w:t>25.55</w:t>
      </w:r>
      <w:r>
        <w:rPr>
          <w:rFonts w:ascii="Times New Roman" w:eastAsia="方正仿宋简体" w:cs="方正仿宋简体" w:hAnsi="Times New Roman" w:hint="eastAsia"/>
          <w:sz w:val="32"/>
          <w:szCs w:val="32"/>
          <w:lang w:val="en-US" w:eastAsia="zh-CN"/>
        </w:rPr>
        <w:t>%。主要是购房补贴</w:t>
      </w:r>
      <w:r>
        <w:rPr>
          <w:rFonts w:eastAsia="方正仿宋简体" w:cs="方正仿宋简体" w:hint="eastAsia"/>
          <w:sz w:val="32"/>
          <w:szCs w:val="32"/>
          <w:lang w:val="en-US" w:eastAsia="zh-CN"/>
        </w:rPr>
        <w:t>支出增加。</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黑体简体" w:cs="方正黑体简体" w:hAnsi="Times New Roman" w:hint="eastAsia"/>
          <w:sz w:val="32"/>
          <w:szCs w:val="32"/>
          <w:lang w:val="en-US" w:eastAsia="zh-CN"/>
        </w:rPr>
      </w:pPr>
      <w:r>
        <w:rPr>
          <w:rFonts w:ascii="Times New Roman" w:eastAsia="方正黑体简体" w:cs="方正黑体简体" w:hAnsi="Times New Roman" w:hint="eastAsia"/>
          <w:sz w:val="32"/>
          <w:szCs w:val="32"/>
          <w:lang w:val="en-US" w:eastAsia="zh-CN"/>
        </w:rPr>
        <w:t>六、关于</w:t>
      </w:r>
      <w:r>
        <w:rPr>
          <w:rFonts w:eastAsia="方正黑体简体" w:cs="方正黑体简体" w:hint="eastAsia"/>
          <w:sz w:val="32"/>
          <w:szCs w:val="32"/>
          <w:lang w:val="en-US" w:eastAsia="zh-CN"/>
        </w:rPr>
        <w:t>海拉尔</w:t>
      </w:r>
      <w:r>
        <w:rPr>
          <w:rFonts w:ascii="Times New Roman" w:eastAsia="方正黑体简体" w:cs="方正黑体简体" w:hAnsi="Times New Roman" w:hint="eastAsia"/>
          <w:sz w:val="32"/>
          <w:szCs w:val="32"/>
          <w:lang w:val="en-US" w:eastAsia="zh-CN"/>
        </w:rPr>
        <w:t>海关202</w:t>
      </w:r>
      <w:r>
        <w:rPr>
          <w:rFonts w:eastAsia="方正黑体简体" w:cs="方正黑体简体" w:hint="eastAsia"/>
          <w:sz w:val="32"/>
          <w:szCs w:val="32"/>
          <w:lang w:val="en-US" w:eastAsia="zh-CN"/>
        </w:rPr>
        <w:t>5</w:t>
      </w:r>
      <w:r>
        <w:rPr>
          <w:rFonts w:ascii="Times New Roman" w:eastAsia="方正黑体简体" w:cs="方正黑体简体" w:hAnsi="Times New Roman" w:hint="eastAsia"/>
          <w:sz w:val="32"/>
          <w:szCs w:val="32"/>
          <w:lang w:val="en-US" w:eastAsia="zh-CN"/>
        </w:rPr>
        <w:t>年一般公共预算基本支出情况说明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海拉尔海关202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年一般公共预算基本支出</w:t>
      </w:r>
      <w:r>
        <w:rPr>
          <w:rFonts w:eastAsia="方正仿宋简体" w:cs="方正仿宋简体" w:hint="eastAsia"/>
          <w:sz w:val="32"/>
          <w:szCs w:val="32"/>
          <w:lang w:val="en-US" w:eastAsia="zh-CN"/>
        </w:rPr>
        <w:t>1556.25</w:t>
      </w:r>
      <w:r>
        <w:rPr>
          <w:rFonts w:ascii="Times New Roman" w:eastAsia="方正仿宋简体" w:cs="方正仿宋简体" w:hAnsi="Times New Roman" w:hint="eastAsia"/>
          <w:sz w:val="32"/>
          <w:szCs w:val="32"/>
          <w:lang w:val="en-US" w:eastAsia="zh-CN"/>
        </w:rPr>
        <w:t>万元，其中：</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人员经费</w:t>
      </w:r>
      <w:r>
        <w:rPr>
          <w:rFonts w:eastAsia="方正仿宋简体" w:cs="方正仿宋简体" w:hint="eastAsia"/>
          <w:sz w:val="32"/>
          <w:szCs w:val="32"/>
          <w:lang w:val="en-US" w:eastAsia="zh-CN"/>
        </w:rPr>
        <w:t>1163.25</w:t>
      </w:r>
      <w:r>
        <w:rPr>
          <w:rFonts w:ascii="Times New Roman" w:eastAsia="方正仿宋简体" w:cs="方正仿宋简体" w:hAnsi="Times New Roman" w:hint="eastAsia"/>
          <w:sz w:val="32"/>
          <w:szCs w:val="32"/>
          <w:lang w:val="en-US" w:eastAsia="zh-CN"/>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生活补助、医疗费补助、助学金、奖励金、代缴社会保险费、其他对个人和家庭的补助；</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_GBK" w:hAnsi="Times New Roman"/>
          <w:sz w:val="32"/>
          <w:szCs w:val="32"/>
        </w:rPr>
      </w:pPr>
      <w:r>
        <w:rPr>
          <w:rFonts w:ascii="Times New Roman" w:eastAsia="方正仿宋简体" w:cs="方正仿宋简体" w:hAnsi="Times New Roman" w:hint="eastAsia"/>
          <w:sz w:val="32"/>
          <w:szCs w:val="32"/>
          <w:lang w:val="en-US" w:eastAsia="zh-CN"/>
        </w:rPr>
        <w:t>日常公用经费</w:t>
      </w:r>
      <w:r>
        <w:rPr>
          <w:rFonts w:eastAsia="方正仿宋简体" w:cs="方正仿宋简体" w:hint="eastAsia"/>
          <w:sz w:val="32"/>
          <w:szCs w:val="32"/>
          <w:lang w:val="en-US" w:eastAsia="zh-CN"/>
        </w:rPr>
        <w:t>393.00</w:t>
      </w:r>
      <w:r>
        <w:rPr>
          <w:rFonts w:ascii="Times New Roman" w:eastAsia="方正仿宋简体" w:cs="方正仿宋简体" w:hAnsi="Times New Roman" w:hint="eastAsia"/>
          <w:sz w:val="32"/>
          <w:szCs w:val="32"/>
          <w:lang w:val="en-US" w:eastAsia="zh-CN"/>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办公设备购置、专用设备购置、大型修缮、信息网络及软件购置更新、无形资产购置、其他资本性支出。</w:t>
      </w:r>
    </w:p>
    <w:p>
      <w:pPr>
        <w:pStyle w:val="31"/>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七、关于</w:t>
      </w:r>
      <w:r>
        <w:rPr>
          <w:rFonts w:eastAsia="方正黑体_GBK" w:hint="eastAsia"/>
          <w:sz w:val="32"/>
          <w:szCs w:val="32"/>
          <w:lang w:eastAsia="zh-CN"/>
        </w:rPr>
        <w:t>海拉尔</w:t>
      </w:r>
      <w:r>
        <w:rPr>
          <w:rFonts w:ascii="Times New Roman" w:eastAsia="方正黑体_GBK" w:hAnsi="Times New Roman" w:hint="eastAsia"/>
          <w:sz w:val="32"/>
          <w:szCs w:val="32"/>
        </w:rPr>
        <w:t>海关202</w:t>
      </w:r>
      <w:r>
        <w:rPr>
          <w:rFonts w:eastAsia="方正黑体_GBK" w:hint="eastAsia"/>
          <w:sz w:val="32"/>
          <w:szCs w:val="32"/>
          <w:lang w:val="en-US" w:eastAsia="zh-CN"/>
        </w:rPr>
        <w:t>5</w:t>
      </w:r>
      <w:r>
        <w:rPr>
          <w:rFonts w:ascii="Times New Roman" w:eastAsia="方正黑体_GBK" w:hAnsi="Times New Roman" w:hint="eastAsia"/>
          <w:sz w:val="32"/>
          <w:szCs w:val="32"/>
        </w:rPr>
        <w:t>年“三公”经费预算情况说明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jc w:val="center"/>
        <w:textAlignment w:val="auto"/>
        <w:outlineLvl w:val="9"/>
        <w:rPr>
          <w:rFonts w:eastAsia="方正仿宋简体" w:cs="方正仿宋简体" w:hint="eastAsia"/>
          <w:sz w:val="32"/>
          <w:szCs w:val="32"/>
          <w:lang w:val="en-US" w:eastAsia="zh-CN"/>
        </w:rPr>
      </w:pPr>
      <w:r>
        <w:rPr>
          <w:rFonts w:ascii="Times New Roman" w:eastAsia="方正仿宋简体" w:cs="方正仿宋简体" w:hAnsi="Times New Roman" w:hint="eastAsia"/>
          <w:sz w:val="32"/>
          <w:szCs w:val="32"/>
          <w:lang w:val="en-US" w:eastAsia="zh-CN"/>
        </w:rPr>
        <w:t>海拉尔海关202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年“三公”经费预算数为</w:t>
      </w:r>
      <w:r>
        <w:rPr>
          <w:rFonts w:eastAsia="方正仿宋简体" w:cs="方正仿宋简体" w:hint="eastAsia"/>
          <w:sz w:val="32"/>
          <w:szCs w:val="32"/>
          <w:lang w:val="en-US" w:eastAsia="zh-CN"/>
        </w:rPr>
        <w:t>71.00</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减少14.80</w:t>
      </w:r>
      <w:r>
        <w:rPr>
          <w:rFonts w:ascii="Times New Roman" w:eastAsia="方正仿宋简体" w:cs="方正仿宋简体" w:hAnsi="Times New Roman" w:hint="eastAsia"/>
          <w:sz w:val="32"/>
          <w:szCs w:val="32"/>
          <w:lang w:val="en-US" w:eastAsia="zh-CN"/>
        </w:rPr>
        <w:t>万元。其中</w:t>
      </w:r>
      <w:r>
        <w:rPr>
          <w:rFonts w:eastAsia="方正仿宋简体" w:cs="方正仿宋简体" w:hint="eastAsia"/>
          <w:sz w:val="32"/>
          <w:szCs w:val="32"/>
          <w:lang w:val="en-US" w:eastAsia="zh-CN"/>
        </w:rPr>
        <w:t>：</w:t>
      </w:r>
      <w:r>
        <w:rPr>
          <w:rFonts w:ascii="Times New Roman" w:eastAsia="方正仿宋简体" w:cs="方正仿宋简体" w:hAnsi="Times New Roman" w:hint="eastAsia"/>
          <w:sz w:val="32"/>
          <w:szCs w:val="32"/>
          <w:lang w:val="en-US" w:eastAsia="zh-CN"/>
        </w:rPr>
        <w:t>公务用车购置费</w:t>
      </w:r>
      <w:r>
        <w:rPr>
          <w:rFonts w:eastAsia="方正仿宋简体" w:cs="方正仿宋简体" w:hint="eastAsia"/>
          <w:sz w:val="32"/>
          <w:szCs w:val="32"/>
          <w:lang w:val="en-US" w:eastAsia="zh-CN"/>
        </w:rPr>
        <w:t>49.50</w:t>
      </w:r>
      <w:r>
        <w:rPr>
          <w:rFonts w:ascii="Times New Roman" w:eastAsia="方正仿宋简体" w:cs="方正仿宋简体" w:hAnsi="Times New Roman" w:hint="eastAsia"/>
          <w:sz w:val="32"/>
          <w:szCs w:val="32"/>
          <w:lang w:val="en-US" w:eastAsia="zh-CN"/>
        </w:rPr>
        <w:t>万元，比202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年预算数</w:t>
      </w:r>
      <w:r>
        <w:rPr>
          <w:rFonts w:eastAsia="方正仿宋简体" w:cs="方正仿宋简体" w:hint="eastAsia"/>
          <w:sz w:val="32"/>
          <w:szCs w:val="32"/>
          <w:lang w:val="en-US" w:eastAsia="zh-CN"/>
        </w:rPr>
        <w:t>减少15.80</w:t>
      </w:r>
      <w:r>
        <w:rPr>
          <w:rFonts w:ascii="Times New Roman" w:eastAsia="方正仿宋简体" w:cs="方正仿宋简体" w:hAnsi="Times New Roman" w:hint="eastAsia"/>
          <w:sz w:val="32"/>
          <w:szCs w:val="32"/>
          <w:lang w:val="en-US" w:eastAsia="zh-CN"/>
        </w:rPr>
        <w:t>万元，主要用于行政单位更新公务用车1辆；公务用车运行费21.50万元，比2024年预算数增加1.00万元，主要用于存量公务用车的运行维护</w:t>
      </w:r>
      <w:r>
        <w:rPr>
          <w:rFonts w:eastAsia="方正仿宋简体" w:cs="方正仿宋简体" w:hint="eastAsia"/>
          <w:sz w:val="32"/>
          <w:szCs w:val="32"/>
          <w:lang w:val="en-US" w:eastAsia="zh-CN"/>
        </w:rPr>
        <w:t>。</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我单位无因公出国（境）费和公务接待费</w:t>
      </w:r>
      <w:r>
        <w:rPr>
          <w:rFonts w:eastAsia="方正仿宋简体" w:cs="方正仿宋简体" w:hint="eastAsia"/>
          <w:sz w:val="32"/>
          <w:szCs w:val="32"/>
          <w:lang w:val="en-US" w:eastAsia="zh-CN"/>
        </w:rPr>
        <w:t>。</w:t>
      </w:r>
    </w:p>
    <w:p>
      <w:pPr>
        <w:pStyle w:val="31"/>
        <w:spacing w:line="560" w:lineRule="exact"/>
        <w:ind w:firstLineChars="200" w:firstLine="640"/>
        <w:rPr>
          <w:rFonts w:ascii="Times New Roman" w:eastAsia="方正黑体_GBK" w:hAnsi="Times New Roman" w:hint="eastAsia"/>
          <w:sz w:val="32"/>
          <w:szCs w:val="32"/>
          <w:highlight w:val="auto"/>
        </w:rPr>
      </w:pPr>
      <w:r>
        <w:rPr>
          <w:rFonts w:ascii="Times New Roman" w:eastAsia="方正黑体_GBK" w:hAnsi="Times New Roman" w:hint="eastAsia"/>
          <w:sz w:val="32"/>
          <w:szCs w:val="32"/>
          <w:highlight w:val="auto"/>
        </w:rPr>
        <w:t>八、关于</w:t>
      </w:r>
      <w:r>
        <w:rPr>
          <w:rFonts w:eastAsia="方正黑体_GBK" w:hint="eastAsia"/>
          <w:sz w:val="32"/>
          <w:szCs w:val="32"/>
          <w:lang w:eastAsia="zh-CN"/>
          <w:highlight w:val="auto"/>
        </w:rPr>
        <w:t>海拉尔</w:t>
      </w:r>
      <w:r>
        <w:rPr>
          <w:rFonts w:ascii="Times New Roman" w:eastAsia="方正黑体_GBK" w:hAnsi="Times New Roman" w:hint="eastAsia"/>
          <w:sz w:val="32"/>
          <w:szCs w:val="32"/>
          <w:highlight w:val="auto"/>
        </w:rPr>
        <w:t>海关202</w:t>
      </w:r>
      <w:r>
        <w:rPr>
          <w:rFonts w:eastAsia="方正黑体_GBK" w:hint="eastAsia"/>
          <w:sz w:val="32"/>
          <w:szCs w:val="32"/>
          <w:lang w:val="en-US" w:eastAsia="zh-CN"/>
          <w:highlight w:val="auto"/>
        </w:rPr>
        <w:t>5</w:t>
      </w:r>
      <w:r>
        <w:rPr>
          <w:rFonts w:ascii="Times New Roman" w:eastAsia="方正黑体_GBK" w:hAnsi="Times New Roman" w:hint="eastAsia"/>
          <w:sz w:val="32"/>
          <w:szCs w:val="32"/>
          <w:highlight w:val="auto"/>
        </w:rPr>
        <w:t>年政府性基金预算收支情况说明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eastAsia="方正仿宋简体" w:cs="方正仿宋简体" w:hint="eastAsia"/>
          <w:sz w:val="32"/>
          <w:szCs w:val="32"/>
          <w:lang w:val="en-US" w:eastAsia="zh-CN"/>
        </w:rPr>
        <w:t>海拉尔海关</w:t>
      </w:r>
      <w:r>
        <w:rPr>
          <w:rFonts w:ascii="Times New Roman" w:eastAsia="方正仿宋简体" w:cs="方正仿宋简体" w:hAnsi="Times New Roman" w:hint="eastAsia"/>
          <w:sz w:val="32"/>
          <w:szCs w:val="32"/>
          <w:lang w:val="en-US" w:eastAsia="zh-CN"/>
        </w:rPr>
        <w:t>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年无政府性基金预算收支。</w:t>
      </w:r>
    </w:p>
    <w:p>
      <w:pPr>
        <w:pStyle w:val="31"/>
        <w:spacing w:line="560" w:lineRule="exact"/>
        <w:ind w:firstLineChars="200" w:firstLine="640"/>
        <w:rPr>
          <w:rFonts w:ascii="Times New Roman" w:eastAsia="方正黑体_GBK" w:hAnsi="Times New Roman" w:hint="eastAsia"/>
          <w:sz w:val="32"/>
          <w:szCs w:val="32"/>
          <w:highlight w:val="auto"/>
        </w:rPr>
      </w:pPr>
      <w:r>
        <w:rPr>
          <w:rFonts w:ascii="Times New Roman" w:eastAsia="方正黑体_GBK" w:hAnsi="Times New Roman" w:hint="eastAsia"/>
          <w:sz w:val="32"/>
          <w:szCs w:val="32"/>
          <w:highlight w:val="auto"/>
        </w:rPr>
        <w:t>九、关于海关202</w:t>
      </w:r>
      <w:r>
        <w:rPr>
          <w:rFonts w:eastAsia="方正黑体_GBK" w:hint="eastAsia"/>
          <w:sz w:val="32"/>
          <w:szCs w:val="32"/>
          <w:lang w:val="en-US" w:eastAsia="zh-CN"/>
          <w:highlight w:val="auto"/>
        </w:rPr>
        <w:t>5</w:t>
      </w:r>
      <w:r>
        <w:rPr>
          <w:rFonts w:ascii="Times New Roman" w:eastAsia="方正黑体_GBK" w:hAnsi="Times New Roman" w:hint="eastAsia"/>
          <w:sz w:val="32"/>
          <w:szCs w:val="32"/>
          <w:highlight w:val="auto"/>
        </w:rPr>
        <w:t>年国有资本经营预算收支情况说明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eastAsia="方正仿宋简体" w:cs="方正仿宋简体" w:hint="eastAsia"/>
          <w:sz w:val="32"/>
          <w:szCs w:val="32"/>
          <w:lang w:val="en-US" w:eastAsia="zh-CN"/>
        </w:rPr>
        <w:t>海拉尔海关</w:t>
      </w:r>
      <w:r>
        <w:rPr>
          <w:rFonts w:ascii="Times New Roman" w:eastAsia="方正仿宋简体" w:cs="方正仿宋简体" w:hAnsi="Times New Roman" w:hint="eastAsia"/>
          <w:sz w:val="32"/>
          <w:szCs w:val="32"/>
          <w:lang w:val="en-US" w:eastAsia="zh-CN"/>
        </w:rPr>
        <w:t>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年无国有资本经营预算收支。</w:t>
      </w:r>
    </w:p>
    <w:p>
      <w:pPr>
        <w:pStyle w:val="31"/>
        <w:spacing w:line="560" w:lineRule="exact"/>
        <w:ind w:firstLineChars="200" w:firstLine="640"/>
        <w:rPr>
          <w:rFonts w:ascii="Times New Roman" w:eastAsia="方正黑体_GBK" w:hAnsi="Times New Roman" w:hint="eastAsia"/>
          <w:sz w:val="32"/>
          <w:szCs w:val="32"/>
          <w:highlight w:val="auto"/>
        </w:rPr>
      </w:pPr>
      <w:r>
        <w:rPr>
          <w:rFonts w:ascii="Times New Roman" w:eastAsia="方正黑体_GBK" w:hAnsi="Times New Roman" w:hint="eastAsia"/>
          <w:sz w:val="32"/>
          <w:szCs w:val="32"/>
          <w:highlight w:val="auto"/>
        </w:rPr>
        <w:t>十、其他重要事项情况说明</w:t>
      </w:r>
    </w:p>
    <w:p>
      <w:pPr>
        <w:spacing w:line="560" w:lineRule="exact"/>
        <w:ind w:firstLineChars="200" w:firstLine="640"/>
        <w:jc w:val="left"/>
        <w:rPr>
          <w:rFonts w:ascii="Times New Roman" w:eastAsia="楷体" w:cs="楷体" w:hAnsi="Times New Roman" w:hint="eastAsia"/>
          <w:b/>
          <w:bCs/>
          <w:sz w:val="32"/>
          <w:szCs w:val="32"/>
          <w:lang w:val="zh-CN" w:eastAsia="zh-CN" w:bidi="ar-SA"/>
          <w:highlight w:val="auto"/>
        </w:rPr>
      </w:pPr>
      <w:r>
        <w:rPr>
          <w:rFonts w:ascii="Times New Roman" w:eastAsia="楷体" w:cs="楷体" w:hAnsi="Times New Roman" w:hint="eastAsia"/>
          <w:b/>
          <w:bCs/>
          <w:sz w:val="32"/>
          <w:szCs w:val="32"/>
          <w:lang w:val="zh-CN" w:eastAsia="zh-CN" w:bidi="ar-SA"/>
          <w:highlight w:val="auto"/>
        </w:rPr>
        <w:t>（一）机关运行经费。</w:t>
      </w:r>
    </w:p>
    <w:p>
      <w:pPr>
        <w:spacing w:line="560" w:lineRule="exact"/>
        <w:ind w:firstLineChars="200" w:firstLine="640"/>
        <w:rPr>
          <w:rFonts w:ascii="Times New Roman" w:eastAsia="方正仿宋_GBK" w:hAnsi="Times New Roman" w:hint="eastAsia"/>
          <w:sz w:val="32"/>
          <w:szCs w:val="32"/>
          <w:highlight w:val="auto"/>
        </w:rPr>
      </w:pPr>
      <w:r>
        <w:rPr>
          <w:rFonts w:ascii="Times New Roman" w:eastAsia="方正仿宋简体" w:cs="方正仿宋简体" w:hAnsi="Times New Roman" w:hint="eastAsia"/>
          <w:sz w:val="32"/>
          <w:szCs w:val="32"/>
          <w:lang w:val="en-US" w:eastAsia="zh-CN"/>
        </w:rPr>
        <w:t>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年海拉尔海关机关运行经费财政拨款预算</w:t>
      </w:r>
      <w:r>
        <w:rPr>
          <w:rFonts w:eastAsia="方正仿宋简体" w:cs="方正仿宋简体" w:hint="eastAsia"/>
          <w:sz w:val="32"/>
          <w:szCs w:val="32"/>
          <w:lang w:val="en-US" w:eastAsia="zh-CN"/>
        </w:rPr>
        <w:t>302.26</w:t>
      </w:r>
      <w:r>
        <w:rPr>
          <w:rFonts w:ascii="Times New Roman" w:eastAsia="方正仿宋简体" w:cs="方正仿宋简体" w:hAnsi="Times New Roman" w:hint="eastAsia"/>
          <w:sz w:val="32"/>
          <w:szCs w:val="32"/>
          <w:lang w:val="en-US" w:eastAsia="zh-CN"/>
        </w:rPr>
        <w:t>万元，较202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年预算</w:t>
      </w:r>
      <w:r>
        <w:rPr>
          <w:rFonts w:eastAsia="方正仿宋简体" w:cs="方正仿宋简体" w:hint="eastAsia"/>
          <w:sz w:val="32"/>
          <w:szCs w:val="32"/>
          <w:lang w:val="en-US" w:eastAsia="zh-CN"/>
        </w:rPr>
        <w:t>减少9.77</w:t>
      </w:r>
      <w:r>
        <w:rPr>
          <w:rFonts w:ascii="Times New Roman" w:eastAsia="方正仿宋简体" w:cs="方正仿宋简体" w:hAnsi="Times New Roman" w:hint="eastAsia"/>
          <w:sz w:val="32"/>
          <w:szCs w:val="32"/>
          <w:lang w:val="en-US" w:eastAsia="zh-CN"/>
        </w:rPr>
        <w:t>万元，</w:t>
      </w:r>
      <w:r>
        <w:rPr>
          <w:rFonts w:eastAsia="方正仿宋简体" w:cs="方正仿宋简体" w:hint="eastAsia"/>
          <w:sz w:val="32"/>
          <w:szCs w:val="32"/>
          <w:lang w:val="en-US" w:eastAsia="zh-CN"/>
        </w:rPr>
        <w:t>降低3.13</w:t>
      </w:r>
      <w:r>
        <w:rPr>
          <w:rFonts w:ascii="Times New Roman" w:eastAsia="方正仿宋简体" w:cs="方正仿宋简体" w:hAnsi="Times New Roman" w:hint="eastAsia"/>
          <w:sz w:val="32"/>
          <w:szCs w:val="32"/>
          <w:lang w:val="en-US" w:eastAsia="zh-CN"/>
        </w:rPr>
        <w:t>%。主要是落实过紧日子要求，压减相关经费。</w:t>
      </w:r>
    </w:p>
    <w:p>
      <w:pPr>
        <w:spacing w:line="560" w:lineRule="exact"/>
        <w:ind w:firstLineChars="200" w:firstLine="640"/>
        <w:jc w:val="left"/>
        <w:rPr>
          <w:rFonts w:ascii="Times New Roman" w:eastAsia="楷体" w:cs="楷体" w:hAnsi="Times New Roman" w:hint="eastAsia"/>
          <w:b/>
          <w:bCs/>
          <w:sz w:val="32"/>
          <w:szCs w:val="32"/>
          <w:lang w:val="zh-CN" w:eastAsia="zh-CN" w:bidi="ar-SA"/>
          <w:highlight w:val="auto"/>
        </w:rPr>
      </w:pPr>
      <w:r>
        <w:rPr>
          <w:rFonts w:ascii="Times New Roman" w:eastAsia="楷体" w:cs="楷体" w:hAnsi="Times New Roman" w:hint="eastAsia"/>
          <w:b/>
          <w:bCs/>
          <w:sz w:val="32"/>
          <w:szCs w:val="32"/>
          <w:lang w:val="zh-CN" w:eastAsia="zh-CN" w:bidi="ar-SA"/>
          <w:highlight w:val="auto"/>
        </w:rPr>
        <w:t>（二）政府采购情况。</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w:t>
      </w:r>
      <w:r>
        <w:rPr>
          <w:rFonts w:eastAsia="方正仿宋简体" w:cs="方正仿宋简体" w:hint="eastAsia"/>
          <w:sz w:val="32"/>
          <w:szCs w:val="32"/>
          <w:lang w:val="en-US" w:eastAsia="zh-CN"/>
        </w:rPr>
        <w:t>海拉尔海关</w:t>
      </w:r>
      <w:r>
        <w:rPr>
          <w:rFonts w:ascii="Times New Roman" w:eastAsia="方正仿宋简体" w:cs="方正仿宋简体" w:hAnsi="Times New Roman" w:hint="eastAsia"/>
          <w:sz w:val="32"/>
          <w:szCs w:val="32"/>
          <w:lang w:val="en-US" w:eastAsia="zh-CN"/>
        </w:rPr>
        <w:t>政府采购预算总额</w:t>
      </w:r>
      <w:r>
        <w:rPr>
          <w:rFonts w:eastAsia="方正仿宋简体" w:cs="方正仿宋简体" w:hint="eastAsia"/>
          <w:sz w:val="32"/>
          <w:szCs w:val="32"/>
          <w:lang w:val="en-US" w:eastAsia="zh-CN"/>
        </w:rPr>
        <w:t>52.00</w:t>
      </w:r>
      <w:r>
        <w:rPr>
          <w:rFonts w:ascii="Times New Roman" w:eastAsia="方正仿宋简体" w:cs="方正仿宋简体" w:hAnsi="Times New Roman" w:hint="eastAsia"/>
          <w:sz w:val="32"/>
          <w:szCs w:val="32"/>
          <w:lang w:val="en-US" w:eastAsia="zh-CN"/>
        </w:rPr>
        <w:t>万元，全部为政府采购货物预算。</w:t>
      </w:r>
    </w:p>
    <w:p>
      <w:pPr>
        <w:spacing w:line="560" w:lineRule="exact"/>
        <w:ind w:firstLineChars="200" w:firstLine="640"/>
        <w:jc w:val="left"/>
        <w:rPr>
          <w:rFonts w:ascii="Times New Roman" w:eastAsia="楷体" w:cs="楷体" w:hAnsi="Times New Roman" w:hint="eastAsia"/>
          <w:b/>
          <w:bCs/>
          <w:sz w:val="32"/>
          <w:szCs w:val="32"/>
          <w:lang w:val="zh-CN" w:eastAsia="zh-CN" w:bidi="ar-SA"/>
          <w:highlight w:val="auto"/>
        </w:rPr>
      </w:pPr>
      <w:r>
        <w:rPr>
          <w:rFonts w:ascii="Times New Roman" w:eastAsia="楷体" w:cs="楷体" w:hAnsi="Times New Roman" w:hint="eastAsia"/>
          <w:b/>
          <w:bCs/>
          <w:sz w:val="32"/>
          <w:szCs w:val="32"/>
          <w:lang w:val="zh-CN" w:eastAsia="zh-CN" w:bidi="ar-SA"/>
          <w:highlight w:val="auto"/>
        </w:rPr>
        <w:t>（三）国有资产占有使用情况。</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截至202</w:t>
      </w:r>
      <w:r>
        <w:rPr>
          <w:rFonts w:eastAsia="方正仿宋简体" w:cs="方正仿宋简体" w:hint="eastAsia"/>
          <w:sz w:val="32"/>
          <w:szCs w:val="32"/>
          <w:lang w:val="en-US" w:eastAsia="zh-CN"/>
        </w:rPr>
        <w:t>4</w:t>
      </w:r>
      <w:r>
        <w:rPr>
          <w:rFonts w:ascii="Times New Roman" w:eastAsia="方正仿宋简体" w:cs="方正仿宋简体" w:hAnsi="Times New Roman" w:hint="eastAsia"/>
          <w:sz w:val="32"/>
          <w:szCs w:val="32"/>
          <w:lang w:val="en-US" w:eastAsia="zh-CN"/>
        </w:rPr>
        <w:t>年</w:t>
      </w:r>
      <w:r>
        <w:rPr>
          <w:rFonts w:eastAsia="方正仿宋简体" w:cs="方正仿宋简体" w:hint="eastAsia"/>
          <w:sz w:val="32"/>
          <w:szCs w:val="32"/>
          <w:lang w:val="en-US" w:eastAsia="zh-CN"/>
        </w:rPr>
        <w:t>12</w:t>
      </w:r>
      <w:r>
        <w:rPr>
          <w:rFonts w:ascii="Times New Roman" w:eastAsia="方正仿宋简体" w:cs="方正仿宋简体" w:hAnsi="Times New Roman" w:hint="eastAsia"/>
          <w:sz w:val="32"/>
          <w:szCs w:val="32"/>
          <w:lang w:val="en-US" w:eastAsia="zh-CN"/>
        </w:rPr>
        <w:t>月31日，海拉尔海关共有车辆</w:t>
      </w:r>
      <w:r>
        <w:rPr>
          <w:rFonts w:eastAsia="方正仿宋简体" w:cs="方正仿宋简体" w:hint="eastAsia"/>
          <w:sz w:val="32"/>
          <w:szCs w:val="32"/>
          <w:lang w:val="en-US" w:eastAsia="zh-CN"/>
        </w:rPr>
        <w:t>7</w:t>
      </w:r>
      <w:r>
        <w:rPr>
          <w:rFonts w:ascii="Times New Roman" w:eastAsia="方正仿宋简体" w:cs="方正仿宋简体" w:hAnsi="Times New Roman" w:hint="eastAsia"/>
          <w:sz w:val="32"/>
          <w:szCs w:val="32"/>
          <w:lang w:val="en-US" w:eastAsia="zh-CN"/>
        </w:rPr>
        <w:t>辆，其中，</w:t>
      </w:r>
      <w:r>
        <w:rPr>
          <w:rFonts w:eastAsia="方正仿宋简体" w:cs="方正仿宋简体" w:hint="eastAsia"/>
          <w:sz w:val="32"/>
          <w:szCs w:val="32"/>
          <w:lang w:val="en-US" w:eastAsia="zh-CN"/>
        </w:rPr>
        <w:t>应急保障</w:t>
      </w:r>
      <w:r>
        <w:rPr>
          <w:rFonts w:ascii="Times New Roman" w:eastAsia="方正仿宋简体" w:cs="方正仿宋简体" w:hAnsi="Times New Roman" w:hint="eastAsia"/>
          <w:sz w:val="32"/>
          <w:szCs w:val="32"/>
          <w:lang w:val="en-US" w:eastAsia="zh-CN"/>
        </w:rPr>
        <w:t>用车</w:t>
      </w:r>
      <w:r>
        <w:rPr>
          <w:rFonts w:eastAsia="方正仿宋简体" w:cs="方正仿宋简体" w:hint="eastAsia"/>
          <w:sz w:val="32"/>
          <w:szCs w:val="32"/>
          <w:lang w:val="en-US" w:eastAsia="zh-CN"/>
        </w:rPr>
        <w:t>1</w:t>
      </w:r>
      <w:r>
        <w:rPr>
          <w:rFonts w:ascii="Times New Roman" w:eastAsia="方正仿宋简体" w:cs="方正仿宋简体" w:hAnsi="Times New Roman" w:hint="eastAsia"/>
          <w:sz w:val="32"/>
          <w:szCs w:val="32"/>
          <w:lang w:val="en-US" w:eastAsia="zh-CN"/>
        </w:rPr>
        <w:t>辆、执法执勤用车</w:t>
      </w:r>
      <w:r>
        <w:rPr>
          <w:rFonts w:eastAsia="方正仿宋简体" w:cs="方正仿宋简体" w:hint="eastAsia"/>
          <w:sz w:val="32"/>
          <w:szCs w:val="32"/>
          <w:lang w:val="en-US" w:eastAsia="zh-CN"/>
        </w:rPr>
        <w:t>6</w:t>
      </w:r>
      <w:r>
        <w:rPr>
          <w:rFonts w:ascii="Times New Roman" w:eastAsia="方正仿宋简体" w:cs="方正仿宋简体" w:hAnsi="Times New Roman" w:hint="eastAsia"/>
          <w:sz w:val="32"/>
          <w:szCs w:val="32"/>
          <w:lang w:val="en-US" w:eastAsia="zh-CN"/>
        </w:rPr>
        <w:t>辆。</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color w:val="auto"/>
          <w:sz w:val="32"/>
          <w:szCs w:val="32"/>
          <w:lang w:val="en-US" w:eastAsia="zh-CN"/>
        </w:rPr>
      </w:pPr>
      <w:r>
        <w:rPr>
          <w:rFonts w:eastAsia="方正仿宋简体" w:cs="方正仿宋简体" w:hint="eastAsia"/>
          <w:sz w:val="32"/>
          <w:szCs w:val="32"/>
          <w:lang w:val="en-US" w:eastAsia="zh-CN"/>
        </w:rPr>
        <w:t>2</w:t>
      </w:r>
      <w:r>
        <w:rPr>
          <w:rFonts w:ascii="Times New Roman" w:eastAsia="方正仿宋简体" w:cs="方正仿宋简体" w:hAnsi="Times New Roman" w:hint="eastAsia"/>
          <w:sz w:val="32"/>
          <w:szCs w:val="32"/>
          <w:lang w:val="en-US" w:eastAsia="zh-CN"/>
        </w:rPr>
        <w:t>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年部门预算安排购置</w:t>
      </w:r>
      <w:r>
        <w:rPr>
          <w:rFonts w:eastAsia="方正仿宋简体" w:cs="方正仿宋简体" w:hint="eastAsia"/>
          <w:sz w:val="32"/>
          <w:szCs w:val="32"/>
          <w:lang w:val="en-US" w:eastAsia="zh-CN"/>
        </w:rPr>
        <w:t>1</w:t>
      </w:r>
      <w:r>
        <w:rPr>
          <w:rFonts w:ascii="Times New Roman" w:eastAsia="方正仿宋简体" w:cs="方正仿宋简体" w:hAnsi="Times New Roman" w:hint="eastAsia"/>
          <w:sz w:val="32"/>
          <w:szCs w:val="32"/>
          <w:lang w:val="en-US" w:eastAsia="zh-CN"/>
        </w:rPr>
        <w:t>辆</w:t>
      </w:r>
      <w:r>
        <w:rPr>
          <w:rFonts w:ascii="Times New Roman" w:eastAsia="方正仿宋简体" w:cs="方正仿宋简体" w:hAnsi="Times New Roman" w:hint="eastAsia"/>
          <w:color w:val="auto"/>
          <w:sz w:val="32"/>
          <w:szCs w:val="32"/>
          <w:lang w:val="en-US" w:eastAsia="zh-CN"/>
        </w:rPr>
        <w:t>执法执勤用车。</w:t>
      </w:r>
    </w:p>
    <w:p>
      <w:pPr>
        <w:spacing w:line="560" w:lineRule="exact"/>
        <w:ind w:firstLineChars="200" w:firstLine="640"/>
        <w:jc w:val="left"/>
        <w:rPr>
          <w:rFonts w:ascii="Times New Roman" w:eastAsia="楷体" w:cs="楷体" w:hAnsi="Times New Roman" w:hint="eastAsia"/>
          <w:b/>
          <w:bCs/>
          <w:sz w:val="32"/>
          <w:szCs w:val="32"/>
          <w:lang w:val="zh-CN" w:eastAsia="zh-CN" w:bidi="ar-SA"/>
          <w:highlight w:val="auto"/>
        </w:rPr>
      </w:pPr>
      <w:r>
        <w:rPr>
          <w:rFonts w:ascii="Times New Roman" w:eastAsia="楷体" w:cs="楷体" w:hAnsi="Times New Roman" w:hint="eastAsia"/>
          <w:b/>
          <w:bCs/>
          <w:sz w:val="32"/>
          <w:szCs w:val="32"/>
          <w:lang w:val="zh-CN" w:eastAsia="zh-CN" w:bidi="ar-SA"/>
          <w:highlight w:val="auto"/>
        </w:rPr>
        <w:t>（四）预算绩效情况说明。</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zh-CN" w:eastAsia="zh-CN"/>
        </w:rPr>
      </w:pPr>
      <w:r>
        <w:rPr>
          <w:rFonts w:ascii="Times New Roman" w:eastAsia="方正仿宋简体" w:cs="方正仿宋简体" w:hAnsi="Times New Roman" w:hint="eastAsia"/>
          <w:sz w:val="32"/>
          <w:szCs w:val="32"/>
          <w:lang w:val="en-US" w:eastAsia="zh-CN"/>
        </w:rPr>
        <w:t>20</w:t>
      </w:r>
      <w:r>
        <w:rPr>
          <w:rFonts w:eastAsia="方正仿宋简体" w:cs="方正仿宋简体" w:hint="eastAsia"/>
          <w:sz w:val="32"/>
          <w:szCs w:val="32"/>
          <w:lang w:val="en-US" w:eastAsia="zh-CN"/>
        </w:rPr>
        <w:t>25</w:t>
      </w:r>
      <w:r>
        <w:rPr>
          <w:rFonts w:ascii="Times New Roman" w:eastAsia="方正仿宋简体" w:cs="方正仿宋简体" w:hAnsi="Times New Roman" w:hint="eastAsia"/>
          <w:sz w:val="32"/>
          <w:szCs w:val="32"/>
          <w:lang w:val="en-US" w:eastAsia="zh-CN"/>
        </w:rPr>
        <w:t>年对海拉尔海关一般公共预算拨款项目全面实施绩效目标管理，一般公共预算当年拨款</w:t>
      </w:r>
      <w:r>
        <w:rPr>
          <w:rFonts w:eastAsia="方正仿宋简体" w:cs="方正仿宋简体" w:hint="eastAsia"/>
          <w:sz w:val="32"/>
          <w:szCs w:val="32"/>
          <w:lang w:val="en-US" w:eastAsia="zh-CN"/>
        </w:rPr>
        <w:t>210.04</w:t>
      </w:r>
      <w:r>
        <w:rPr>
          <w:rFonts w:ascii="Times New Roman" w:eastAsia="方正仿宋简体" w:cs="方正仿宋简体" w:hAnsi="Times New Roman" w:hint="eastAsia"/>
          <w:sz w:val="32"/>
          <w:szCs w:val="32"/>
          <w:lang w:val="en-US" w:eastAsia="zh-CN"/>
        </w:rPr>
        <w:t>万元，一级项目</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个，二级项目8个。根据以前年度绩效评价结果，优化了海关业务保障及能力提升专项、口岸公共卫生安全专项等项目支出202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年预算安排，并进一步改进管理。</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r>
        <w:rPr>
          <w:rFonts w:ascii="Times New Roman" w:eastAsia="方正仿宋简体" w:cs="方正仿宋简体" w:hAnsi="Times New Roman" w:hint="eastAsia"/>
          <w:sz w:val="32"/>
          <w:szCs w:val="32"/>
          <w:lang w:val="en-US" w:eastAsia="zh-CN"/>
        </w:rPr>
        <w:t>在202</w:t>
      </w:r>
      <w:r>
        <w:rPr>
          <w:rFonts w:eastAsia="方正仿宋简体" w:cs="方正仿宋简体" w:hint="eastAsia"/>
          <w:sz w:val="32"/>
          <w:szCs w:val="32"/>
          <w:lang w:val="en-US" w:eastAsia="zh-CN"/>
        </w:rPr>
        <w:t>5</w:t>
      </w:r>
      <w:r>
        <w:rPr>
          <w:rFonts w:ascii="Times New Roman" w:eastAsia="方正仿宋简体" w:cs="方正仿宋简体" w:hAnsi="Times New Roman" w:hint="eastAsia"/>
          <w:sz w:val="32"/>
          <w:szCs w:val="32"/>
          <w:lang w:val="en-US" w:eastAsia="zh-CN"/>
        </w:rPr>
        <w:t>年度部门预算中反映检验检疫、</w:t>
      </w:r>
      <w:r>
        <w:rPr>
          <w:rFonts w:eastAsia="方正仿宋简体" w:cs="方正仿宋简体" w:hint="eastAsia"/>
          <w:sz w:val="32"/>
          <w:szCs w:val="32"/>
          <w:lang w:val="en-US" w:eastAsia="zh-CN"/>
        </w:rPr>
        <w:t>海关关务、</w:t>
      </w:r>
      <w:r>
        <w:rPr>
          <w:rFonts w:ascii="Times New Roman" w:eastAsia="方正仿宋简体" w:cs="方正仿宋简体" w:hAnsi="Times New Roman" w:hint="eastAsia"/>
          <w:sz w:val="32"/>
          <w:szCs w:val="32"/>
          <w:lang w:val="en-US" w:eastAsia="zh-CN"/>
        </w:rPr>
        <w:t>缉私</w:t>
      </w:r>
      <w:r>
        <w:rPr>
          <w:rFonts w:eastAsia="方正仿宋简体" w:cs="方正仿宋简体" w:hint="eastAsia"/>
          <w:sz w:val="32"/>
          <w:szCs w:val="32"/>
          <w:lang w:val="en-US" w:eastAsia="zh-CN"/>
        </w:rPr>
        <w:t>警察业务</w:t>
      </w:r>
      <w:r>
        <w:rPr>
          <w:rFonts w:ascii="Times New Roman" w:eastAsia="方正仿宋简体" w:cs="方正仿宋简体" w:hAnsi="Times New Roman" w:hint="eastAsia"/>
          <w:sz w:val="32"/>
          <w:szCs w:val="32"/>
          <w:lang w:val="en-US" w:eastAsia="zh-CN"/>
        </w:rPr>
        <w:t>费专项等5个项目绩效目标表，详见“第五部分 附件”。</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方正仿宋简体" w:cs="方正仿宋简体" w:hAnsi="Times New Roman" w:hint="eastAsia"/>
          <w:sz w:val="32"/>
          <w:szCs w:val="32"/>
          <w:lang w:val="en-US" w:eastAsia="zh-CN"/>
        </w:rPr>
      </w:pPr>
    </w:p>
    <w:p>
      <w:pPr>
        <w:spacing w:line="560" w:lineRule="exact"/>
        <w:ind w:firstLineChars="200" w:firstLine="640"/>
        <w:rPr>
          <w:rFonts w:ascii="Times New Roman" w:hAnsi="Times New Roman"/>
          <w:sz w:val="32"/>
          <w:szCs w:val="32"/>
          <w:highlight w:val="auto"/>
        </w:rPr>
      </w:pPr>
    </w:p>
    <w:p>
      <w:pPr>
        <w:spacing w:line="560" w:lineRule="exact"/>
        <w:rPr>
          <w:rFonts w:ascii="Times New Roman" w:hAnsi="Times New Roman" w:hint="eastAsia"/>
          <w:b/>
          <w:sz w:val="32"/>
          <w:szCs w:val="32"/>
          <w:highlight w:val="auto"/>
        </w:rPr>
      </w:pPr>
    </w:p>
    <w:p>
      <w:pPr>
        <w:jc w:val="center"/>
        <w:rPr>
          <w:rFonts w:ascii="Times New Roman" w:hAnsi="Times New Roman" w:hint="eastAsia"/>
          <w:b/>
          <w:sz w:val="32"/>
          <w:szCs w:val="32"/>
          <w:highlight w:val="auto"/>
        </w:rPr>
      </w:pPr>
    </w:p>
    <w:p>
      <w:pPr>
        <w:jc w:val="center"/>
        <w:rPr>
          <w:rFonts w:ascii="Times New Roman" w:hAnsi="Times New Roman" w:hint="eastAsia"/>
          <w:b/>
          <w:sz w:val="32"/>
          <w:szCs w:val="32"/>
          <w:highlight w:val="auto"/>
        </w:rPr>
      </w:pPr>
    </w:p>
    <w:p>
      <w:pPr>
        <w:jc w:val="center"/>
        <w:rPr>
          <w:rFonts w:ascii="Times New Roman" w:hAnsi="Times New Roman" w:hint="eastAsia"/>
          <w:b/>
          <w:sz w:val="32"/>
          <w:szCs w:val="32"/>
          <w:highlight w:val="auto"/>
        </w:rPr>
      </w:pPr>
    </w:p>
    <w:p>
      <w:pPr>
        <w:jc w:val="center"/>
        <w:rPr>
          <w:rFonts w:ascii="Times New Roman" w:hAnsi="Times New Roman"/>
          <w:b/>
          <w:sz w:val="84"/>
          <w:szCs w:val="84"/>
          <w:highlight w:val="auto"/>
        </w:rPr>
      </w:pPr>
      <w:r>
        <w:rPr>
          <w:rFonts w:ascii="Times New Roman" w:hAnsi="Times New Roman" w:hint="eastAsia"/>
          <w:b/>
          <w:sz w:val="84"/>
          <w:szCs w:val="84"/>
          <w:highlight w:val="auto"/>
        </w:rPr>
        <w:t>第四部分</w:t>
      </w:r>
      <w:r>
        <w:rPr>
          <w:rFonts w:ascii="Times New Roman" w:hAnsi="Times New Roman"/>
          <w:b/>
          <w:sz w:val="84"/>
          <w:szCs w:val="84"/>
          <w:highlight w:val="auto"/>
        </w:rPr>
        <w:t xml:space="preserve">  </w:t>
      </w:r>
    </w:p>
    <w:p>
      <w:pPr>
        <w:jc w:val="center"/>
        <w:rPr>
          <w:rFonts w:ascii="Times New Roman" w:hAnsi="Times New Roman"/>
          <w:b/>
          <w:sz w:val="84"/>
          <w:szCs w:val="84"/>
          <w:highlight w:val="auto"/>
        </w:rPr>
      </w:pPr>
      <w:r>
        <w:rPr>
          <w:rFonts w:ascii="Times New Roman" w:hAnsi="Times New Roman" w:hint="eastAsia"/>
          <w:b/>
          <w:sz w:val="84"/>
          <w:szCs w:val="84"/>
          <w:highlight w:val="auto"/>
        </w:rPr>
        <w:t>名词解释</w:t>
      </w:r>
    </w:p>
    <w:p>
      <w:pPr>
        <w:rPr>
          <w:rFonts w:ascii="Times New Roman" w:hAnsi="Times New Roman"/>
          <w:b/>
          <w:sz w:val="32"/>
          <w:szCs w:val="84"/>
          <w:highlight w:val="auto"/>
        </w:rPr>
      </w:pPr>
      <w:r>
        <w:rPr>
          <w:rFonts w:ascii="Times New Roman" w:hAnsi="Times New Roman"/>
          <w:b/>
          <w:sz w:val="84"/>
          <w:szCs w:val="84"/>
          <w:highlight w:val="auto"/>
        </w:rPr>
        <w:br w:type="page"/>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关于完善在京中央和国家机关住房制度的若干意见</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rFonts w:ascii="Times New Roman" w:eastAsia="方正仿宋_GBK" w:hAnsi="Times New Roman" w:hint="eastAsia"/>
          <w:sz w:val="32"/>
          <w:szCs w:val="32"/>
          <w:lang w:eastAsia="zh-CN"/>
        </w:rPr>
        <w:sectPr>
          <w:pgSz w:w="11906" w:h="16838"/>
          <w:pgMar w:top="1440" w:right="1800" w:bottom="1440" w:left="1800" w:header="851" w:footer="992" w:gutter="0"/>
          <w:docGrid w:type="lines" w:linePitch="312" w:charSpace="0"/>
        </w:sectPr>
      </w:pPr>
    </w:p>
    <w:p>
      <w:pPr>
        <w:ind w:firstLineChars="400" w:firstLine="3360"/>
        <w:rPr>
          <w:rFonts w:ascii="Times New Roman" w:hAnsi="Times New Roman" w:hint="eastAsia"/>
          <w:b/>
          <w:sz w:val="84"/>
          <w:szCs w:val="84"/>
          <w:highlight w:val="auto"/>
        </w:rPr>
      </w:pPr>
    </w:p>
    <w:p>
      <w:pPr>
        <w:ind w:firstLineChars="400" w:firstLine="3360"/>
        <w:rPr>
          <w:rFonts w:ascii="Times New Roman" w:hAnsi="Times New Roman" w:hint="eastAsia"/>
          <w:b/>
          <w:sz w:val="84"/>
          <w:szCs w:val="84"/>
          <w:highlight w:val="auto"/>
        </w:rPr>
      </w:pPr>
    </w:p>
    <w:p>
      <w:pPr>
        <w:ind w:firstLineChars="400" w:firstLine="3360"/>
        <w:rPr>
          <w:rFonts w:ascii="Times New Roman" w:hAnsi="Times New Roman" w:hint="eastAsia"/>
          <w:b/>
          <w:sz w:val="84"/>
          <w:szCs w:val="84"/>
          <w:highlight w:val="auto"/>
        </w:rPr>
      </w:pPr>
    </w:p>
    <w:p>
      <w:pPr>
        <w:ind w:firstLineChars="400" w:firstLine="3360"/>
        <w:rPr>
          <w:rFonts w:ascii="Times New Roman" w:hAnsi="Times New Roman" w:hint="eastAsia"/>
          <w:b/>
          <w:sz w:val="84"/>
          <w:szCs w:val="84"/>
          <w:highlight w:val="auto"/>
        </w:rPr>
      </w:pPr>
    </w:p>
    <w:p>
      <w:pPr>
        <w:ind w:firstLineChars="400" w:firstLine="3360"/>
        <w:rPr>
          <w:rFonts w:ascii="Times New Roman" w:hAnsi="Times New Roman" w:hint="eastAsia"/>
          <w:b/>
          <w:sz w:val="84"/>
          <w:szCs w:val="84"/>
          <w:highlight w:val="auto"/>
        </w:rPr>
      </w:pPr>
    </w:p>
    <w:p>
      <w:pPr>
        <w:ind w:firstLineChars="400" w:firstLine="3360"/>
        <w:rPr>
          <w:rFonts w:ascii="Times New Roman" w:hAnsi="Times New Roman" w:hint="eastAsia"/>
          <w:b/>
          <w:sz w:val="84"/>
          <w:szCs w:val="84"/>
          <w:highlight w:val="auto"/>
        </w:rPr>
      </w:pPr>
    </w:p>
    <w:p>
      <w:pPr>
        <w:ind w:firstLineChars="400" w:firstLine="3360"/>
        <w:rPr>
          <w:rFonts w:ascii="Times New Roman" w:hAnsi="Times New Roman" w:hint="eastAsia"/>
          <w:b/>
          <w:sz w:val="84"/>
          <w:szCs w:val="84"/>
          <w:highlight w:val="auto"/>
        </w:rPr>
      </w:pPr>
    </w:p>
    <w:p>
      <w:pPr>
        <w:ind w:firstLineChars="400" w:firstLine="3360"/>
        <w:rPr>
          <w:rFonts w:ascii="Times New Roman" w:hAnsi="Times New Roman" w:hint="eastAsia"/>
          <w:b/>
          <w:sz w:val="84"/>
          <w:szCs w:val="84"/>
          <w:highlight w:val="auto"/>
        </w:rPr>
      </w:pPr>
      <w:r>
        <w:rPr>
          <w:rFonts w:ascii="Times New Roman" w:hAnsi="Times New Roman" w:hint="eastAsia"/>
          <w:b/>
          <w:sz w:val="84"/>
          <w:szCs w:val="84"/>
          <w:highlight w:val="auto"/>
        </w:rPr>
        <w:t>第五部分</w:t>
      </w:r>
    </w:p>
    <w:p>
      <w:pPr>
        <w:jc w:val="center"/>
        <w:rPr>
          <w:rFonts w:ascii="Times New Roman" w:hAnsi="Times New Roman"/>
          <w:b/>
          <w:sz w:val="84"/>
          <w:szCs w:val="84"/>
          <w:highlight w:val="auto"/>
        </w:rPr>
      </w:pPr>
      <w:r>
        <w:rPr>
          <w:rFonts w:ascii="Times New Roman" w:hAnsi="Times New Roman" w:hint="eastAsia"/>
          <w:b/>
          <w:sz w:val="84"/>
          <w:szCs w:val="84"/>
          <w:highlight w:val="auto"/>
        </w:rPr>
        <w:t>附件</w:t>
      </w:r>
    </w:p>
    <w:p>
      <w:pPr>
        <w:ind w:firstLineChars="950" w:firstLine="3040"/>
        <w:rPr>
          <w:rFonts w:ascii="Times New Roman" w:eastAsia="方正仿宋_GBK" w:hAnsi="Times New Roman" w:hint="eastAsia"/>
          <w:b/>
          <w:bCs/>
          <w:color w:val="FF0000"/>
          <w:sz w:val="32"/>
          <w:szCs w:val="32"/>
          <w:highlight w:val="auto"/>
        </w:rPr>
      </w:pPr>
    </w:p>
    <w:p>
      <w:pPr>
        <w:rPr>
          <w:rFonts w:ascii="Times New Roman" w:hAnsi="Times New Roman" w:hint="eastAsia"/>
          <w:b/>
          <w:sz w:val="84"/>
          <w:szCs w:val="84"/>
          <w:highlight w:val="auto"/>
        </w:rPr>
      </w:pPr>
    </w:p>
    <w:p>
      <w:pPr>
        <w:rPr>
          <w:rFonts w:ascii="Times New Roman" w:hAnsi="Times New Roman" w:hint="eastAsia"/>
          <w:b/>
          <w:sz w:val="84"/>
          <w:szCs w:val="84"/>
          <w:highlight w:val="auto"/>
        </w:rPr>
      </w:pPr>
    </w:p>
    <w:p>
      <w:pPr>
        <w:rPr>
          <w:rFonts w:ascii="Times New Roman" w:hAnsi="Times New Roman" w:hint="eastAsia"/>
          <w:b/>
          <w:sz w:val="84"/>
          <w:szCs w:val="84"/>
          <w:highlight w:val="auto"/>
        </w:rPr>
      </w:pPr>
    </w:p>
    <w:p>
      <w:pPr>
        <w:pStyle w:val="15"/>
        <w:rPr>
          <w:rFonts w:ascii="Times New Roman" w:hAnsi="Times New Roman" w:hint="eastAsia"/>
        </w:rPr>
      </w:pPr>
    </w:p>
    <w:p>
      <w:pPr>
        <w:rPr>
          <w:rFonts w:ascii="Times New Roman" w:hAnsi="Times New Roman" w:hint="eastAsia"/>
          <w:b/>
          <w:sz w:val="40"/>
          <w:szCs w:val="40"/>
          <w:highlight w:val="auto"/>
        </w:rPr>
      </w:pPr>
    </w:p>
    <w:p>
      <w:pPr>
        <w:rPr>
          <w:rFonts w:ascii="Times New Roman" w:hAnsi="Times New Roman" w:hint="eastAsia"/>
          <w:b/>
          <w:sz w:val="32"/>
          <w:szCs w:val="32"/>
          <w:highlight w:val="auto"/>
        </w:rPr>
      </w:pPr>
    </w:p>
    <w:tbl>
      <w:tblPr>
        <w:jc w:val="left"/>
        <w:tblInd w:w="0" w:type="dxa"/>
        <w:tblW w:w="969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454"/>
        <w:gridCol w:w="1029"/>
        <w:gridCol w:w="1794"/>
        <w:gridCol w:w="1795"/>
        <w:gridCol w:w="1830"/>
        <w:gridCol w:w="1758"/>
        <w:gridCol w:w="1030"/>
      </w:tblGrid>
      <w:tr>
        <w:trPr>
          <w:trHeight w:val="690"/>
        </w:trPr>
        <w:tc>
          <w:tcPr>
            <w:tcW w:w="9690" w:type="dxa"/>
            <w:gridSpan w:val="7"/>
            <w:shd w:val="clear" w:color="auto" w:fill="auto"/>
            <w:vAlign w:val="center"/>
          </w:tcPr>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pStyle w:val="15"/>
              <w:rPr>
                <w:rFonts w:hint="eastAsia"/>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Times New Roman" w:eastAsia="黑体" w:cs="黑体" w:hAnsi="Times New Roman"/>
                <w:i w:val="0"/>
                <w:color w:val="000000"/>
                <w:sz w:val="32"/>
                <w:szCs w:val="32"/>
                <w:u w:val="none"/>
              </w:rPr>
            </w:pPr>
            <w:r>
              <w:rPr>
                <w:rFonts w:ascii="黑体" w:eastAsia="黑体" w:cs="黑体" w:hint="eastAsia"/>
                <w:i w:val="0"/>
                <w:color w:val="000000"/>
                <w:kern w:val="0"/>
                <w:sz w:val="32"/>
                <w:szCs w:val="32"/>
                <w:u w:val="none"/>
                <w:lang w:val="en-US" w:eastAsia="zh-CN"/>
              </w:rPr>
              <w:t>国门生物安全专项项目绩效目标表</w:t>
            </w:r>
          </w:p>
        </w:tc>
      </w:tr>
      <w:tr>
        <w:trPr>
          <w:trHeight w:val="495"/>
        </w:trPr>
        <w:tc>
          <w:tcPr>
            <w:tcW w:w="9690" w:type="dxa"/>
            <w:gridSpan w:val="7"/>
            <w:shd w:val="clear" w:color="auto" w:fill="auto"/>
          </w:tcPr>
          <w:p>
            <w:pPr>
              <w:keepNext w:val="0"/>
              <w:keepLines w:val="0"/>
              <w:widowControl/>
              <w:suppressLineNumbers w:val="0"/>
              <w:jc w:val="center"/>
              <w:textAlignment w:val="top"/>
              <w:rPr>
                <w:rFonts w:ascii="Times New Roman" w:eastAsia="宋体" w:cs="宋体" w:hAnsi="Times New Roman" w:hint="eastAsia"/>
                <w:i w:val="0"/>
                <w:color w:val="000000"/>
                <w:sz w:val="24"/>
                <w:szCs w:val="24"/>
                <w:u w:val="none"/>
              </w:rPr>
            </w:pPr>
            <w:r>
              <w:rPr>
                <w:rFonts w:ascii="宋体" w:eastAsia="宋体" w:cs="宋体" w:hint="eastAsia"/>
                <w:i w:val="0"/>
                <w:color w:val="000000"/>
                <w:kern w:val="0"/>
                <w:sz w:val="24"/>
                <w:szCs w:val="24"/>
                <w:u w:val="none"/>
                <w:lang w:val="en-US" w:eastAsia="zh-CN"/>
              </w:rPr>
              <w:t>（2025年度）</w:t>
            </w:r>
          </w:p>
        </w:tc>
      </w:tr>
      <w:tr>
        <w:trPr>
          <w:trHeight w:val="435"/>
        </w:trPr>
        <w:tc>
          <w:tcPr>
            <w:tcW w:w="14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2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国门生物安全专项</w:t>
            </w:r>
          </w:p>
        </w:tc>
      </w:tr>
      <w:tr>
        <w:trPr>
          <w:trHeight w:val="435"/>
        </w:trPr>
        <w:tc>
          <w:tcPr>
            <w:tcW w:w="14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中华人民共和国海拉尔海关</w:t>
            </w:r>
          </w:p>
        </w:tc>
      </w:tr>
      <w:tr>
        <w:trPr>
          <w:trHeight w:val="435"/>
        </w:trPr>
        <w:tc>
          <w:tcPr>
            <w:tcW w:w="1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1.00 </w:t>
            </w:r>
          </w:p>
        </w:tc>
        <w:tc>
          <w:tcPr>
            <w:tcW w:w="10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435"/>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其中：财政拨款</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1.00 </w:t>
            </w:r>
          </w:p>
        </w:tc>
        <w:tc>
          <w:tcPr>
            <w:tcW w:w="10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上年结转</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0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其他资金</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0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71"/>
        </w:trPr>
        <w:tc>
          <w:tcPr>
            <w:tcW w:w="454" w:type="dxa"/>
            <w:tcBorders>
              <w:top w:val="single" w:sz="4" w:space="0" w:color="000000"/>
              <w:left w:val="single" w:sz="4" w:space="0" w:color="000000"/>
              <w:right w:val="single" w:sz="4" w:space="0" w:color="000000"/>
            </w:tcBorders>
            <w:shd w:val="clear" w:color="auto" w:fill="auto"/>
          </w:tcPr>
          <w:p>
            <w:pPr>
              <w:keepNext w:val="0"/>
              <w:keepLines w:val="0"/>
              <w:widowControl/>
              <w:suppressLineNumbers w:val="0"/>
              <w:jc w:val="center"/>
              <w:textAlignment w:val="auto"/>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2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目标1：通过国门生物安全监测、出口饲料和饲料添加剂风险监管以及进境粮食监管等工作，使关员检疫监管效能显著提高，提升海关动植物检疫执法能力。</w:t>
              <w:br/>
              <w:br/>
              <w:t>目标2：通过有效强化疫情疫病监测预警和防控水平，疫情疫病监测网络更加完整、监测预警更加灵敏、应急反应更加及时有效，整个疫情疫病风险预警与管控能力将得到大幅度提升。</w:t>
              <w:br/>
              <w:br/>
              <w:t>目标3：通过有效提升对进出境饲料、粮食、活动物的有毒有害物质监控力度，使得禁止不合格进口农产品流入国内。</w:t>
            </w:r>
          </w:p>
        </w:tc>
      </w:tr>
      <w:tr>
        <w:trPr>
          <w:trHeight w:val="600"/>
        </w:trPr>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一级</w:t>
              <w:br/>
              <w:t>指标</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3625" w:type="dxa"/>
            <w:gridSpan w:val="2"/>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435"/>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17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开展国门生物安全培训或宣传次数</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≥1次</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r>
      <w:tr>
        <w:trPr>
          <w:trHeight w:val="435"/>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国门生物安全监测次数</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≥7次</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r>
      <w:tr>
        <w:trPr>
          <w:trHeight w:val="909"/>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进出口食用农产品和饲料安全风险监控计划完成率</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r>
      <w:tr>
        <w:trPr>
          <w:trHeight w:val="435"/>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社会效益指标</w:t>
            </w: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国门生物安全有效保障率</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≥90%</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30</w:t>
            </w:r>
          </w:p>
        </w:tc>
      </w:tr>
      <w:tr>
        <w:trPr>
          <w:trHeight w:val="435"/>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满意度</w:t>
              <w:br/>
              <w:t>指标</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服务对象</w:t>
              <w:br/>
              <w:t>满意度指标</w:t>
            </w: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宣传对象满意度</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≥90%</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bl>
    <w:p>
      <w:pPr>
        <w:rPr>
          <w:rFonts w:ascii="Times New Roman" w:hAnsi="Times New Roman" w:hint="eastAsia"/>
          <w:b/>
          <w:sz w:val="32"/>
          <w:szCs w:val="32"/>
          <w:highlight w:val="auto"/>
        </w:rPr>
      </w:pPr>
    </w:p>
    <w:p>
      <w:pPr>
        <w:rPr>
          <w:rFonts w:ascii="Times New Roman" w:hAnsi="Times New Roman" w:hint="eastAsia"/>
          <w:b/>
          <w:sz w:val="32"/>
          <w:szCs w:val="32"/>
          <w:highlight w:val="auto"/>
        </w:rPr>
      </w:pPr>
    </w:p>
    <w:p>
      <w:pPr>
        <w:rPr>
          <w:rFonts w:ascii="Times New Roman" w:hAnsi="Times New Roman" w:hint="eastAsia"/>
          <w:b/>
          <w:sz w:val="32"/>
          <w:szCs w:val="32"/>
          <w:highlight w:val="auto"/>
        </w:rPr>
      </w:pPr>
    </w:p>
    <w:p>
      <w:pPr>
        <w:pStyle w:val="15"/>
        <w:rPr>
          <w:rFonts w:ascii="Times New Roman" w:hAnsi="Times New Roman" w:hint="eastAsia"/>
          <w:b/>
          <w:sz w:val="32"/>
          <w:szCs w:val="32"/>
          <w:highlight w:val="auto"/>
        </w:rPr>
      </w:pPr>
    </w:p>
    <w:p>
      <w:pPr>
        <w:pStyle w:val="15"/>
        <w:rPr>
          <w:rFonts w:ascii="Times New Roman" w:hAnsi="Times New Roman" w:hint="eastAsia"/>
          <w:b/>
          <w:sz w:val="32"/>
          <w:szCs w:val="32"/>
          <w:highlight w:val="auto"/>
        </w:rPr>
      </w:pPr>
    </w:p>
    <w:p>
      <w:pPr>
        <w:pStyle w:val="15"/>
        <w:rPr>
          <w:rFonts w:ascii="Times New Roman" w:hAnsi="Times New Roman" w:hint="eastAsia"/>
          <w:b/>
          <w:sz w:val="32"/>
          <w:szCs w:val="32"/>
          <w:highlight w:val="auto"/>
        </w:rPr>
      </w:pPr>
    </w:p>
    <w:p>
      <w:pPr>
        <w:pStyle w:val="15"/>
        <w:rPr>
          <w:rFonts w:ascii="Times New Roman" w:hAnsi="Times New Roman" w:hint="eastAsia"/>
          <w:b/>
          <w:sz w:val="32"/>
          <w:szCs w:val="32"/>
          <w:highlight w:val="auto"/>
        </w:rPr>
      </w:pPr>
    </w:p>
    <w:p>
      <w:pPr>
        <w:pStyle w:val="15"/>
        <w:rPr>
          <w:rFonts w:ascii="Times New Roman" w:hAnsi="Times New Roman" w:hint="eastAsia"/>
          <w:b/>
          <w:sz w:val="32"/>
          <w:szCs w:val="32"/>
          <w:highlight w:val="auto"/>
        </w:rPr>
      </w:pPr>
    </w:p>
    <w:p>
      <w:pPr>
        <w:pStyle w:val="15"/>
        <w:rPr>
          <w:rFonts w:ascii="Times New Roman" w:hAnsi="Times New Roman" w:hint="eastAsia"/>
          <w:b/>
          <w:sz w:val="32"/>
          <w:szCs w:val="32"/>
          <w:highlight w:val="auto"/>
        </w:rPr>
      </w:pPr>
    </w:p>
    <w:tbl>
      <w:tblPr>
        <w:jc w:val="left"/>
        <w:tblInd w:w="0" w:type="dxa"/>
        <w:tblW w:w="978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503"/>
        <w:gridCol w:w="1077"/>
        <w:gridCol w:w="1885"/>
        <w:gridCol w:w="1840"/>
        <w:gridCol w:w="1858"/>
        <w:gridCol w:w="1863"/>
        <w:gridCol w:w="754"/>
      </w:tblGrid>
      <w:tr>
        <w:trPr>
          <w:trHeight w:val="690"/>
        </w:trPr>
        <w:tc>
          <w:tcPr>
            <w:tcW w:w="9780" w:type="dxa"/>
            <w:gridSpan w:val="7"/>
            <w:shd w:val="clear" w:color="auto" w:fill="auto"/>
            <w:vAlign w:val="center"/>
          </w:tcPr>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pStyle w:val="15"/>
              <w:rPr>
                <w:rFonts w:hint="eastAsia"/>
                <w:lang w:val="en-US" w:eastAsia="zh-CN"/>
              </w:rPr>
            </w:pPr>
          </w:p>
          <w:p>
            <w:pPr>
              <w:keepNext w:val="0"/>
              <w:keepLines w:val="0"/>
              <w:widowControl/>
              <w:suppressLineNumbers w:val="0"/>
              <w:jc w:val="center"/>
              <w:textAlignment w:val="center"/>
              <w:rPr>
                <w:rFonts w:ascii="黑体" w:eastAsia="黑体" w:cs="黑体"/>
                <w:i w:val="0"/>
                <w:color w:val="000000"/>
                <w:sz w:val="32"/>
                <w:szCs w:val="32"/>
                <w:u w:val="none"/>
              </w:rPr>
            </w:pPr>
            <w:r>
              <w:rPr>
                <w:rFonts w:ascii="黑体" w:eastAsia="黑体" w:cs="黑体" w:hint="eastAsia"/>
                <w:i w:val="0"/>
                <w:color w:val="000000"/>
                <w:kern w:val="0"/>
                <w:sz w:val="32"/>
                <w:szCs w:val="32"/>
                <w:u w:val="none"/>
                <w:lang w:val="en-US" w:eastAsia="zh-CN"/>
              </w:rPr>
              <w:t>进出口商品质量安全检验监管专项项目绩效目标表</w:t>
            </w:r>
          </w:p>
        </w:tc>
      </w:tr>
      <w:tr>
        <w:trPr>
          <w:trHeight w:val="495"/>
        </w:trPr>
        <w:tc>
          <w:tcPr>
            <w:tcW w:w="9780" w:type="dxa"/>
            <w:gridSpan w:val="7"/>
            <w:shd w:val="clear" w:color="auto" w:fill="auto"/>
          </w:tcPr>
          <w:p>
            <w:pPr>
              <w:keepNext w:val="0"/>
              <w:keepLines w:val="0"/>
              <w:widowControl/>
              <w:suppressLineNumbers w:val="0"/>
              <w:jc w:val="center"/>
              <w:textAlignment w:val="top"/>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（2025年度）</w:t>
            </w:r>
          </w:p>
        </w:tc>
      </w:tr>
      <w:tr>
        <w:trPr>
          <w:trHeight w:val="435"/>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20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进出口商品质量安全检验监管专项</w:t>
            </w:r>
          </w:p>
        </w:tc>
      </w:tr>
      <w:tr>
        <w:trPr>
          <w:trHeight w:val="435"/>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3725"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26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中华人民共和国海拉尔海关</w:t>
            </w:r>
          </w:p>
        </w:tc>
      </w:tr>
      <w:tr>
        <w:trPr>
          <w:trHeight w:val="435"/>
        </w:trPr>
        <w:tc>
          <w:tcPr>
            <w:tcW w:w="15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3725"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3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7.00 </w:t>
            </w:r>
          </w:p>
        </w:tc>
        <w:tc>
          <w:tcPr>
            <w:tcW w:w="7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435"/>
        </w:trPr>
        <w:tc>
          <w:tcPr>
            <w:tcW w:w="15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25"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其中：财政拨款</w:t>
            </w:r>
          </w:p>
        </w:tc>
        <w:tc>
          <w:tcPr>
            <w:tcW w:w="3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7.00 </w:t>
            </w:r>
          </w:p>
        </w:tc>
        <w:tc>
          <w:tcPr>
            <w:tcW w:w="7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5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25"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上年结转</w:t>
            </w:r>
          </w:p>
        </w:tc>
        <w:tc>
          <w:tcPr>
            <w:tcW w:w="3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7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5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725"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其他资金</w:t>
            </w:r>
          </w:p>
        </w:tc>
        <w:tc>
          <w:tcPr>
            <w:tcW w:w="3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75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71"/>
        </w:trPr>
        <w:tc>
          <w:tcPr>
            <w:tcW w:w="503" w:type="dxa"/>
            <w:tcBorders>
              <w:top w:val="single" w:sz="4" w:space="0" w:color="000000"/>
              <w:left w:val="single" w:sz="4" w:space="0" w:color="000000"/>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27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目标1：危化品等重点敏感商品检验监管能力持续加强，维护国门安全水平有效提升。</w:t>
              <w:br/>
              <w:t>目标2：有效获取进出口商品质量安全风险信息，风险评估及预警处置工作有序开展。</w:t>
              <w:br/>
              <w:t>目标3：基于风险评估结果深化商检业务改革，促进跨境贸易便利化水平有效提升，有力增强人民群众获得感。</w:t>
            </w:r>
          </w:p>
        </w:tc>
      </w:tr>
      <w:tr>
        <w:trPr>
          <w:trHeight w:val="600"/>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一级</w:t>
              <w:br/>
              <w:t>指标</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3698" w:type="dxa"/>
            <w:gridSpan w:val="2"/>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435"/>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3698"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开展商检业务培训、宣讲次数</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≥1次</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25</w:t>
            </w:r>
          </w:p>
        </w:tc>
      </w:tr>
      <w:tr>
        <w:trPr>
          <w:trHeight w:val="435"/>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3698"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业务培训测试通过率</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25</w:t>
            </w:r>
          </w:p>
        </w:tc>
      </w:tr>
      <w:tr>
        <w:trPr>
          <w:trHeight w:val="1321"/>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社会效益指标</w:t>
            </w:r>
          </w:p>
        </w:tc>
        <w:tc>
          <w:tcPr>
            <w:tcW w:w="3698"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因海关检验原因导致的进出口危化品重大质量安全事故</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≤2次</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30</w:t>
            </w:r>
          </w:p>
        </w:tc>
      </w:tr>
      <w:tr>
        <w:trPr>
          <w:trHeight w:val="1020"/>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满意度</w:t>
              <w:br/>
              <w:t>指标</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服务对象</w:t>
              <w:br/>
              <w:t>满意度指标</w:t>
            </w:r>
          </w:p>
        </w:tc>
        <w:tc>
          <w:tcPr>
            <w:tcW w:w="3698"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进出口商品企业满意度（%）</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≥90%</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bl>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tbl>
      <w:tblPr>
        <w:tblpPr w:leftFromText="180" w:rightFromText="180" w:vertAnchor="text" w:horzAnchor="page" w:tblpX="1000" w:tblpY="42"/>
        <w:tblOverlap w:val="never"/>
        <w:tblW w:w="969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454"/>
        <w:gridCol w:w="1029"/>
        <w:gridCol w:w="1794"/>
        <w:gridCol w:w="1795"/>
        <w:gridCol w:w="1830"/>
        <w:gridCol w:w="1758"/>
        <w:gridCol w:w="1030"/>
      </w:tblGrid>
      <w:tr>
        <w:trPr>
          <w:trHeight w:val="690"/>
        </w:trPr>
        <w:tc>
          <w:tcPr>
            <w:tcW w:w="9690" w:type="dxa"/>
            <w:gridSpan w:val="7"/>
            <w:shd w:val="clear" w:color="auto" w:fill="auto"/>
            <w:vAlign w:val="center"/>
          </w:tcPr>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Times New Roman" w:eastAsia="黑体" w:cs="黑体" w:hAnsi="Times New Roman"/>
                <w:i w:val="0"/>
                <w:color w:val="000000"/>
                <w:sz w:val="32"/>
                <w:szCs w:val="32"/>
                <w:u w:val="none"/>
              </w:rPr>
            </w:pPr>
            <w:r>
              <w:rPr>
                <w:rFonts w:ascii="黑体" w:eastAsia="黑体" w:cs="黑体" w:hint="eastAsia"/>
                <w:i w:val="0"/>
                <w:color w:val="000000"/>
                <w:kern w:val="0"/>
                <w:sz w:val="32"/>
                <w:szCs w:val="32"/>
                <w:u w:val="none"/>
                <w:lang w:val="en-US" w:eastAsia="zh-CN"/>
              </w:rPr>
              <w:t>口岸公共卫生安全专项项目绩效目标表</w:t>
            </w:r>
          </w:p>
        </w:tc>
      </w:tr>
      <w:tr>
        <w:trPr>
          <w:trHeight w:val="495"/>
        </w:trPr>
        <w:tc>
          <w:tcPr>
            <w:tcW w:w="9690" w:type="dxa"/>
            <w:gridSpan w:val="7"/>
            <w:shd w:val="clear" w:color="auto" w:fill="auto"/>
          </w:tcPr>
          <w:p>
            <w:pPr>
              <w:keepNext w:val="0"/>
              <w:keepLines w:val="0"/>
              <w:widowControl/>
              <w:suppressLineNumbers w:val="0"/>
              <w:jc w:val="center"/>
              <w:textAlignment w:val="top"/>
              <w:rPr>
                <w:rFonts w:ascii="Times New Roman" w:eastAsia="宋体" w:cs="宋体" w:hAnsi="Times New Roman" w:hint="eastAsia"/>
                <w:i w:val="0"/>
                <w:color w:val="000000"/>
                <w:sz w:val="24"/>
                <w:szCs w:val="24"/>
                <w:u w:val="none"/>
              </w:rPr>
            </w:pPr>
            <w:r>
              <w:rPr>
                <w:rFonts w:ascii="宋体" w:eastAsia="宋体" w:cs="宋体" w:hint="eastAsia"/>
                <w:i w:val="0"/>
                <w:color w:val="000000"/>
                <w:kern w:val="0"/>
                <w:sz w:val="24"/>
                <w:szCs w:val="24"/>
                <w:u w:val="none"/>
                <w:lang w:val="en-US" w:eastAsia="zh-CN"/>
              </w:rPr>
              <w:t>（2025年度）</w:t>
            </w:r>
          </w:p>
        </w:tc>
      </w:tr>
      <w:tr>
        <w:trPr>
          <w:trHeight w:val="435"/>
        </w:trPr>
        <w:tc>
          <w:tcPr>
            <w:tcW w:w="14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2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口岸公共卫生安全专项</w:t>
            </w:r>
          </w:p>
        </w:tc>
      </w:tr>
      <w:tr>
        <w:trPr>
          <w:trHeight w:val="435"/>
        </w:trPr>
        <w:tc>
          <w:tcPr>
            <w:tcW w:w="14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2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中华人民共和国海拉尔海关</w:t>
            </w:r>
          </w:p>
        </w:tc>
      </w:tr>
      <w:tr>
        <w:trPr>
          <w:trHeight w:val="435"/>
        </w:trPr>
        <w:tc>
          <w:tcPr>
            <w:tcW w:w="14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lef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4.00 </w:t>
            </w:r>
          </w:p>
        </w:tc>
        <w:tc>
          <w:tcPr>
            <w:tcW w:w="10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435"/>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其中：财政拨款</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4.00 </w:t>
            </w:r>
          </w:p>
        </w:tc>
        <w:tc>
          <w:tcPr>
            <w:tcW w:w="10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上年结转</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0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48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89"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其他资金</w:t>
            </w:r>
          </w:p>
        </w:tc>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10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71"/>
        </w:trPr>
        <w:tc>
          <w:tcPr>
            <w:tcW w:w="454" w:type="dxa"/>
            <w:tcBorders>
              <w:top w:val="single" w:sz="4" w:space="0" w:color="000000"/>
              <w:left w:val="single" w:sz="4" w:space="0" w:color="000000"/>
              <w:right w:val="single" w:sz="4" w:space="0" w:color="000000"/>
            </w:tcBorders>
            <w:shd w:val="clear" w:color="auto" w:fill="auto"/>
          </w:tcPr>
          <w:p>
            <w:pPr>
              <w:keepNext w:val="0"/>
              <w:keepLines w:val="0"/>
              <w:widowControl/>
              <w:suppressLineNumbers w:val="0"/>
              <w:jc w:val="center"/>
              <w:textAlignment w:val="auto"/>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2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目标1：通过开展年度外来传染病检测常规工作任务，巩固传染病疫情防控能力基础，保障国家公共卫生安全；</w:t>
              <w:br/>
              <w:br/>
              <w:t>目标2：通过对境内外传染病疫情风险进行监控，防范输入型传染病传入传出；</w:t>
              <w:br/>
              <w:br/>
              <w:t xml:space="preserve">目标3：通过对传染病防控相关知识进行普及性宣传，提高人民群众防范重大传染病的意识。   </w:t>
            </w:r>
          </w:p>
        </w:tc>
      </w:tr>
      <w:tr>
        <w:trPr>
          <w:trHeight w:val="600"/>
        </w:trPr>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一级</w:t>
              <w:br/>
              <w:t>指标</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3625" w:type="dxa"/>
            <w:gridSpan w:val="2"/>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435"/>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17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传染病防控宣传</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≥2.00次</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r>
      <w:tr>
        <w:trPr>
          <w:trHeight w:val="435"/>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传染病检测种类</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≥3.00种</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r>
      <w:tr>
        <w:trPr>
          <w:trHeight w:val="435"/>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《全国口岸食品安全抽检计划》年度完成率</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r>
        <w:trPr>
          <w:trHeight w:val="435"/>
        </w:trPr>
        <w:tc>
          <w:tcPr>
            <w:tcW w:w="4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2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口岸公共卫生安全宣传活动完成率</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Times New Roman" w:eastAsia="宋体" w:cs="宋体" w:hAnsi="Times New Roman"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bl>
    <w:p>
      <w:pPr>
        <w:pStyle w:val="15"/>
        <w:rPr>
          <w:rFonts w:ascii="Times New Roman" w:hAnsi="Times New Roman"/>
          <w:highlight w:val="auto"/>
        </w:rPr>
      </w:pPr>
    </w:p>
    <w:p>
      <w:pPr>
        <w:pStyle w:val="15"/>
        <w:rPr>
          <w:rFonts w:ascii="Times New Roman" w:hAnsi="Times New Roman"/>
          <w:highlight w:val="auto"/>
        </w:rPr>
      </w:pPr>
    </w:p>
    <w:p>
      <w:pPr>
        <w:pStyle w:val="15"/>
        <w:rPr>
          <w:rFonts w:ascii="Times New Roman" w:hAnsi="Times New Roman"/>
          <w:highlight w:val="auto"/>
        </w:rPr>
      </w:pPr>
    </w:p>
    <w:p>
      <w:pPr>
        <w:pStyle w:val="15"/>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tbl>
      <w:tblPr>
        <w:jc w:val="left"/>
        <w:tblInd w:w="0" w:type="dxa"/>
        <w:tblW w:w="978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502"/>
        <w:gridCol w:w="1073"/>
        <w:gridCol w:w="1877"/>
        <w:gridCol w:w="1803"/>
        <w:gridCol w:w="1832"/>
        <w:gridCol w:w="1923"/>
        <w:gridCol w:w="770"/>
      </w:tblGrid>
      <w:tr>
        <w:trPr>
          <w:trHeight w:val="690"/>
        </w:trPr>
        <w:tc>
          <w:tcPr>
            <w:tcW w:w="9780" w:type="dxa"/>
            <w:gridSpan w:val="7"/>
            <w:shd w:val="clear" w:color="auto" w:fill="auto"/>
            <w:vAlign w:val="center"/>
          </w:tcPr>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pStyle w:val="15"/>
              <w:rPr>
                <w:rFonts w:ascii="黑体" w:eastAsia="黑体" w:cs="黑体" w:hint="eastAsia"/>
                <w:i w:val="0"/>
                <w:color w:val="000000"/>
                <w:kern w:val="0"/>
                <w:sz w:val="32"/>
                <w:szCs w:val="32"/>
                <w:u w:val="none"/>
                <w:lang w:val="en-US" w:eastAsia="zh-CN"/>
              </w:rPr>
            </w:pPr>
          </w:p>
          <w:p>
            <w:pPr>
              <w:pStyle w:val="15"/>
              <w:rPr>
                <w:rFonts w:ascii="黑体" w:eastAsia="黑体" w:cs="黑体" w:hint="eastAsia"/>
                <w:i w:val="0"/>
                <w:color w:val="000000"/>
                <w:kern w:val="0"/>
                <w:sz w:val="32"/>
                <w:szCs w:val="32"/>
                <w:u w:val="none"/>
                <w:lang w:val="en-US" w:eastAsia="zh-CN"/>
              </w:rPr>
            </w:pPr>
          </w:p>
          <w:p>
            <w:pPr>
              <w:pStyle w:val="15"/>
              <w:rPr>
                <w:rFonts w:ascii="黑体" w:eastAsia="黑体" w:cs="黑体" w:hint="eastAsia"/>
                <w:i w:val="0"/>
                <w:color w:val="000000"/>
                <w:kern w:val="0"/>
                <w:sz w:val="32"/>
                <w:szCs w:val="32"/>
                <w:u w:val="none"/>
                <w:lang w:val="en-US" w:eastAsia="zh-CN"/>
              </w:rPr>
            </w:pPr>
          </w:p>
          <w:p>
            <w:pPr>
              <w:pStyle w:val="15"/>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i w:val="0"/>
                <w:color w:val="000000"/>
                <w:sz w:val="32"/>
                <w:szCs w:val="32"/>
                <w:u w:val="none"/>
              </w:rPr>
            </w:pPr>
            <w:r>
              <w:rPr>
                <w:rFonts w:ascii="黑体" w:eastAsia="黑体" w:cs="黑体" w:hint="eastAsia"/>
                <w:i w:val="0"/>
                <w:color w:val="000000"/>
                <w:kern w:val="0"/>
                <w:sz w:val="32"/>
                <w:szCs w:val="32"/>
                <w:u w:val="none"/>
                <w:lang w:val="en-US" w:eastAsia="zh-CN"/>
              </w:rPr>
              <w:t>缉私警察业务费项目绩效目标表</w:t>
            </w:r>
          </w:p>
        </w:tc>
      </w:tr>
      <w:tr>
        <w:trPr>
          <w:trHeight w:val="495"/>
        </w:trPr>
        <w:tc>
          <w:tcPr>
            <w:tcW w:w="9780" w:type="dxa"/>
            <w:gridSpan w:val="7"/>
            <w:shd w:val="clear" w:color="auto" w:fill="auto"/>
          </w:tcPr>
          <w:p>
            <w:pPr>
              <w:keepNext w:val="0"/>
              <w:keepLines w:val="0"/>
              <w:widowControl/>
              <w:suppressLineNumbers w:val="0"/>
              <w:jc w:val="center"/>
              <w:textAlignment w:val="top"/>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（2025年度）</w:t>
            </w:r>
          </w:p>
        </w:tc>
      </w:tr>
      <w:tr>
        <w:trPr>
          <w:trHeight w:val="435"/>
        </w:trPr>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2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缉私警察业务费</w:t>
            </w:r>
          </w:p>
        </w:tc>
      </w:tr>
      <w:tr>
        <w:trPr>
          <w:trHeight w:val="435"/>
        </w:trPr>
        <w:tc>
          <w:tcPr>
            <w:tcW w:w="15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中华人民共和国海拉尔海关</w:t>
            </w:r>
          </w:p>
        </w:tc>
      </w:tr>
      <w:tr>
        <w:trPr>
          <w:trHeight w:val="435"/>
        </w:trPr>
        <w:tc>
          <w:tcPr>
            <w:tcW w:w="157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37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62.18 </w:t>
            </w:r>
          </w:p>
        </w:tc>
        <w:tc>
          <w:tcPr>
            <w:tcW w:w="7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435"/>
        </w:trPr>
        <w:tc>
          <w:tcPr>
            <w:tcW w:w="15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其中：财政拨款</w:t>
            </w:r>
          </w:p>
        </w:tc>
        <w:tc>
          <w:tcPr>
            <w:tcW w:w="37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48.00 </w:t>
            </w:r>
          </w:p>
        </w:tc>
        <w:tc>
          <w:tcPr>
            <w:tcW w:w="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5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上年结转</w:t>
            </w:r>
          </w:p>
        </w:tc>
        <w:tc>
          <w:tcPr>
            <w:tcW w:w="37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14.18 </w:t>
            </w:r>
          </w:p>
        </w:tc>
        <w:tc>
          <w:tcPr>
            <w:tcW w:w="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5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其他资金</w:t>
            </w:r>
          </w:p>
        </w:tc>
        <w:tc>
          <w:tcPr>
            <w:tcW w:w="37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7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71"/>
        </w:trPr>
        <w:tc>
          <w:tcPr>
            <w:tcW w:w="502" w:type="dxa"/>
            <w:tcBorders>
              <w:top w:val="single" w:sz="4" w:space="0" w:color="000000"/>
              <w:left w:val="single" w:sz="4" w:space="0" w:color="000000"/>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27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目标1：通过保障缉私警察日常办案资金需求，确保海关缉私工作正常开展，保护人民群众生命财产安全。</w:t>
              <w:br/>
              <w:br/>
              <w:t>目标2：通过开展情报调研、搜集与分析等工作，为打击走私提供线索支撑，提高精准查私能力。</w:t>
            </w:r>
          </w:p>
        </w:tc>
      </w:tr>
      <w:tr>
        <w:trPr>
          <w:trHeight w:val="600"/>
        </w:trPr>
        <w:tc>
          <w:tcPr>
            <w:tcW w:w="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一级</w:t>
              <w:br/>
              <w:t>指标</w:t>
            </w: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3635" w:type="dxa"/>
            <w:gridSpan w:val="2"/>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435"/>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18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保障缉私警察人数</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≥12人</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r>
      <w:tr>
        <w:trPr>
          <w:trHeight w:val="435"/>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保障缉私机构数</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≥1个</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r>
      <w:tr>
        <w:trPr>
          <w:trHeight w:val="435"/>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海关缉私经费保障率</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≥98.00%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r>
      <w:tr>
        <w:trPr>
          <w:trHeight w:val="435"/>
        </w:trPr>
        <w:tc>
          <w:tcPr>
            <w:tcW w:w="5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社会效益指标</w:t>
            </w: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有效提升打击走私业务工作能力</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优</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40</w:t>
            </w:r>
          </w:p>
        </w:tc>
      </w:tr>
    </w:tbl>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tbl>
      <w:tblPr>
        <w:jc w:val="left"/>
        <w:tblInd w:w="0" w:type="dxa"/>
        <w:tblW w:w="978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503"/>
        <w:gridCol w:w="1073"/>
        <w:gridCol w:w="1877"/>
        <w:gridCol w:w="1803"/>
        <w:gridCol w:w="1832"/>
        <w:gridCol w:w="1900"/>
        <w:gridCol w:w="792"/>
      </w:tblGrid>
      <w:tr>
        <w:trPr>
          <w:trHeight w:val="690"/>
        </w:trPr>
        <w:tc>
          <w:tcPr>
            <w:tcW w:w="9780" w:type="dxa"/>
            <w:gridSpan w:val="7"/>
            <w:shd w:val="clear" w:color="auto" w:fill="auto"/>
            <w:vAlign w:val="center"/>
          </w:tcPr>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hint="eastAsia"/>
                <w:i w:val="0"/>
                <w:color w:val="000000"/>
                <w:kern w:val="0"/>
                <w:sz w:val="32"/>
                <w:szCs w:val="32"/>
                <w:u w:val="none"/>
                <w:lang w:val="en-US" w:eastAsia="zh-CN"/>
              </w:rPr>
            </w:pPr>
          </w:p>
          <w:p>
            <w:pPr>
              <w:keepNext w:val="0"/>
              <w:keepLines w:val="0"/>
              <w:widowControl/>
              <w:suppressLineNumbers w:val="0"/>
              <w:jc w:val="center"/>
              <w:textAlignment w:val="center"/>
              <w:rPr>
                <w:rFonts w:ascii="黑体" w:eastAsia="黑体" w:cs="黑体"/>
                <w:i w:val="0"/>
                <w:color w:val="000000"/>
                <w:sz w:val="32"/>
                <w:szCs w:val="32"/>
                <w:u w:val="none"/>
              </w:rPr>
            </w:pPr>
            <w:r>
              <w:rPr>
                <w:rFonts w:ascii="黑体" w:eastAsia="黑体" w:cs="黑体" w:hint="eastAsia"/>
                <w:i w:val="0"/>
                <w:color w:val="000000"/>
                <w:kern w:val="0"/>
                <w:sz w:val="32"/>
                <w:szCs w:val="32"/>
                <w:u w:val="none"/>
                <w:lang w:val="en-US" w:eastAsia="zh-CN"/>
              </w:rPr>
              <w:t>海关业务保障及能力提升专项项目绩效目标表</w:t>
            </w:r>
          </w:p>
        </w:tc>
      </w:tr>
      <w:tr>
        <w:trPr>
          <w:trHeight w:val="495"/>
        </w:trPr>
        <w:tc>
          <w:tcPr>
            <w:tcW w:w="9780" w:type="dxa"/>
            <w:gridSpan w:val="7"/>
            <w:shd w:val="clear" w:color="auto" w:fill="auto"/>
          </w:tcPr>
          <w:p>
            <w:pPr>
              <w:keepNext w:val="0"/>
              <w:keepLines w:val="0"/>
              <w:widowControl/>
              <w:suppressLineNumbers w:val="0"/>
              <w:jc w:val="center"/>
              <w:textAlignment w:val="top"/>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（2025年度）</w:t>
            </w:r>
          </w:p>
        </w:tc>
      </w:tr>
      <w:tr>
        <w:trPr>
          <w:trHeight w:val="435"/>
        </w:trPr>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项目名称</w:t>
            </w:r>
          </w:p>
        </w:tc>
        <w:tc>
          <w:tcPr>
            <w:tcW w:w="82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海关业务保障及能力提升专项</w:t>
            </w:r>
          </w:p>
        </w:tc>
      </w:tr>
      <w:tr>
        <w:trPr>
          <w:trHeight w:val="435"/>
        </w:trPr>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主管部门及代码</w:t>
            </w: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[167]海关总署</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实施单位</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中华人民共和国海拉尔海关</w:t>
            </w:r>
          </w:p>
        </w:tc>
      </w:tr>
      <w:tr>
        <w:trPr>
          <w:trHeight w:val="435"/>
        </w:trPr>
        <w:tc>
          <w:tcPr>
            <w:tcW w:w="15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项目资金</w:t>
              <w:br/>
              <w:t>（万元）</w:t>
            </w: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年度资金总额：</w:t>
            </w:r>
          </w:p>
        </w:tc>
        <w:tc>
          <w:tcPr>
            <w:tcW w:w="37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82.53 </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执行率</w:t>
              <w:br/>
              <w:t>分值</w:t>
              <w:br/>
              <w:t>（10）</w:t>
            </w:r>
          </w:p>
        </w:tc>
      </w:tr>
      <w:tr>
        <w:trPr>
          <w:trHeight w:val="435"/>
        </w:trPr>
        <w:tc>
          <w:tcPr>
            <w:tcW w:w="15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其中：财政拨款</w:t>
            </w:r>
          </w:p>
        </w:tc>
        <w:tc>
          <w:tcPr>
            <w:tcW w:w="37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81.90 </w:t>
            </w:r>
          </w:p>
        </w:tc>
        <w:tc>
          <w:tcPr>
            <w:tcW w:w="7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5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上年结转</w:t>
            </w:r>
          </w:p>
        </w:tc>
        <w:tc>
          <w:tcPr>
            <w:tcW w:w="37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0.63 </w:t>
            </w:r>
          </w:p>
        </w:tc>
        <w:tc>
          <w:tcPr>
            <w:tcW w:w="7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435"/>
        </w:trPr>
        <w:tc>
          <w:tcPr>
            <w:tcW w:w="15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80" w:type="dxa"/>
            <w:gridSpan w:val="2"/>
            <w:tcBorders>
              <w:top w:val="single" w:sz="4" w:space="0" w:color="000000"/>
              <w:left w:val="single" w:sz="4" w:space="0" w:color="000000"/>
              <w:bottom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其他资金</w:t>
            </w:r>
          </w:p>
        </w:tc>
        <w:tc>
          <w:tcPr>
            <w:tcW w:w="37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 xml:space="preserve"> - </w:t>
            </w:r>
          </w:p>
        </w:tc>
        <w:tc>
          <w:tcPr>
            <w:tcW w:w="7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r>
      <w:tr>
        <w:trPr>
          <w:trHeight w:val="1771"/>
        </w:trPr>
        <w:tc>
          <w:tcPr>
            <w:tcW w:w="503" w:type="dxa"/>
            <w:tcBorders>
              <w:top w:val="single" w:sz="4" w:space="0" w:color="000000"/>
              <w:left w:val="single" w:sz="4" w:space="0" w:color="000000"/>
              <w:right w:val="single" w:sz="4" w:space="0" w:color="000000"/>
            </w:tcBorders>
            <w:shd w:val="clear" w:color="auto" w:fill="auto"/>
          </w:tcPr>
          <w:p>
            <w:pPr>
              <w:keepNext w:val="0"/>
              <w:keepLines w:val="0"/>
              <w:widowControl/>
              <w:suppressLineNumbers w:val="0"/>
              <w:jc w:val="center"/>
              <w:textAlignment w:val="auto"/>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年</w:t>
              <w:br/>
              <w:t>度</w:t>
              <w:br/>
              <w:t>总</w:t>
              <w:br/>
              <w:t>体</w:t>
              <w:br/>
              <w:t>目</w:t>
              <w:br/>
              <w:t>标</w:t>
            </w:r>
          </w:p>
        </w:tc>
        <w:tc>
          <w:tcPr>
            <w:tcW w:w="927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after="220" w:afterAutospacing="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通过保障业务现场相关支出、开展法检业务所需的支出以及公务用车的运行维护、更新等支出，提升海关检验检验水平，进一步提升海关行政执法能力和执法水平。</w:t>
            </w:r>
          </w:p>
        </w:tc>
      </w:tr>
      <w:tr>
        <w:trPr>
          <w:trHeight w:val="600"/>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绩</w:t>
              <w:br/>
              <w:t>效</w:t>
              <w:br/>
              <w:t>指</w:t>
              <w:br/>
              <w:t>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一级</w:t>
              <w:br/>
              <w:t>指标</w:t>
            </w: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二级指标</w:t>
            </w:r>
          </w:p>
        </w:tc>
        <w:tc>
          <w:tcPr>
            <w:tcW w:w="3635" w:type="dxa"/>
            <w:gridSpan w:val="2"/>
            <w:tcBorders>
              <w:top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三级指标</w:t>
            </w:r>
          </w:p>
        </w:tc>
        <w:tc>
          <w:tcPr>
            <w:tcW w:w="19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指标值</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分值</w:t>
              <w:br/>
              <w:t>（90）</w:t>
            </w:r>
          </w:p>
        </w:tc>
      </w:tr>
      <w:tr>
        <w:trPr>
          <w:trHeight w:val="435"/>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成本指标</w:t>
            </w: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经济成本指标</w:t>
            </w: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车辆购置的平均成本</w:t>
            </w:r>
          </w:p>
        </w:tc>
        <w:tc>
          <w:tcPr>
            <w:tcW w:w="19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≤49.50万元</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20</w:t>
            </w:r>
          </w:p>
        </w:tc>
      </w:tr>
      <w:tr>
        <w:trPr>
          <w:trHeight w:val="435"/>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产出指标</w:t>
            </w:r>
          </w:p>
        </w:tc>
        <w:tc>
          <w:tcPr>
            <w:tcW w:w="18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数量指标</w:t>
            </w: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保障车辆数量</w:t>
            </w:r>
          </w:p>
        </w:tc>
        <w:tc>
          <w:tcPr>
            <w:tcW w:w="19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≥4辆</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r>
      <w:tr>
        <w:trPr>
          <w:trHeight w:val="435"/>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更新车辆数量</w:t>
            </w:r>
          </w:p>
        </w:tc>
        <w:tc>
          <w:tcPr>
            <w:tcW w:w="19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1.00辆</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15</w:t>
            </w:r>
          </w:p>
        </w:tc>
      </w:tr>
      <w:tr>
        <w:trPr>
          <w:trHeight w:val="435"/>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质量指标</w:t>
            </w: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车辆正常使用率</w:t>
            </w:r>
          </w:p>
        </w:tc>
        <w:tc>
          <w:tcPr>
            <w:tcW w:w="19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10</w:t>
            </w:r>
          </w:p>
        </w:tc>
      </w:tr>
      <w:tr>
        <w:trPr>
          <w:trHeight w:val="435"/>
        </w:trPr>
        <w:tc>
          <w:tcPr>
            <w:tcW w:w="5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效益指标</w:t>
            </w: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社会效益指标</w:t>
            </w:r>
          </w:p>
        </w:tc>
        <w:tc>
          <w:tcPr>
            <w:tcW w:w="3635" w:type="dxa"/>
            <w:gridSpan w:val="2"/>
            <w:tcBorders>
              <w:top w:val="single" w:sz="4" w:space="0" w:color="000000"/>
              <w:bottom w:val="single" w:sz="4" w:space="0" w:color="000000"/>
            </w:tcBorders>
            <w:shd w:val="clear" w:color="auto" w:fill="auto"/>
            <w:vAlign w:val="center"/>
          </w:tcPr>
          <w:p>
            <w:pPr>
              <w:keepNext w:val="0"/>
              <w:keepLines w:val="0"/>
              <w:widowControl/>
              <w:suppressLineNumbers w:val="0"/>
              <w:jc w:val="both"/>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海关业务工作保障率</w:t>
            </w:r>
          </w:p>
        </w:tc>
        <w:tc>
          <w:tcPr>
            <w:tcW w:w="190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≥95%</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lang w:val="en-US" w:eastAsia="zh-CN"/>
              </w:rPr>
              <w:t>30</w:t>
            </w:r>
          </w:p>
        </w:tc>
      </w:tr>
    </w:tbl>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p>
      <w:pPr>
        <w:rPr>
          <w:rFonts w:ascii="Times New Roman" w:hAnsi="Times New Roman"/>
          <w:highlight w:val="auto"/>
        </w:rPr>
      </w:pPr>
    </w:p>
    <w:sectPr>
      <w:footerReference w:type="default" r:id="rId8"/>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方正小标宋简体">
    <w:altName w:val="微软雅黑"/>
    <w:panose1 w:val="03000509000000000000"/>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方正仿宋_GBK">
    <w:altName w:val="微软雅黑"/>
    <w:panose1 w:val="03000509000000000000"/>
    <w:charset w:val="86"/>
    <w:family w:val="script"/>
    <w:pitch w:val="variable"/>
    <w:sig w:usb0="00000000" w:usb1="00000000" w:usb2="00000000" w:usb3="00000000" w:csb0="00040000" w:csb1="00000000"/>
  </w:font>
  <w:font w:name="方正黑体_GBK">
    <w:altName w:val="微软雅黑"/>
    <w:panose1 w:val="03000509000000000000"/>
    <w:charset w:val="86"/>
    <w:family w:val="script"/>
    <w:pitch w:val="variable"/>
    <w:sig w:usb0="00000000" w:usb1="00000000" w:usb2="00000000" w:usb3="00000000" w:csb0="00040000" w:csb1="00000000"/>
  </w:font>
  <w:font w:name="方正仿宋简体">
    <w:altName w:val="微软雅黑"/>
    <w:panose1 w:val="02010601030101010101"/>
    <w:charset w:val="86"/>
    <w:family w:val="auto"/>
    <w:pitch w:val="variable"/>
    <w:sig w:usb0="00000001" w:usb1="080E0000" w:usb2="00000000" w:usb3="00000000" w:csb0="00040000" w:csb1="00000000"/>
  </w:font>
  <w:font w:name="Calibri">
    <w:panose1 w:val="020F0502020204030204"/>
    <w:charset w:val="00"/>
    <w:family w:val="swiss"/>
    <w:pitch w:val="variable"/>
    <w:sig w:usb0="E00002FF" w:usb1="4000ACFF" w:usb2="00000001" w:usb3="00000000" w:csb0="2000019F" w:csb1="00000000"/>
  </w:font>
  <w:font w:name="黑体">
    <w:panose1 w:val="02010609060101010101"/>
    <w:charset w:val="86"/>
    <w:family w:val="auto"/>
    <w:pitch w:val="variable"/>
    <w:sig w:usb0="800002BF" w:usb1="38CF7CFA" w:usb2="00000016" w:usb3="00000000" w:csb0="00040001" w:csb1="00000000"/>
  </w:font>
  <w:font w:name="Microsoft JhengHei">
    <w:panose1 w:val="020B0604030504040204"/>
    <w:charset w:val="88"/>
    <w:family w:val="swiss"/>
    <w:pitch w:val="variable"/>
    <w:sig w:usb0="00000087" w:usb1="28AF4000" w:usb2="00000016" w:usb3="00000000" w:csb0="00100009" w:csb1="00000000"/>
  </w:font>
  <w:font w:name="微软雅黑">
    <w:panose1 w:val="020B0503020204020204"/>
    <w:charset w:val="86"/>
    <w:family w:val="auto"/>
    <w:pitch w:val="variable"/>
    <w:sig w:usb0="80000287" w:usb1="280F3C52" w:usb2="00000016" w:usb3="00000000" w:csb0="0004001F" w:csb1="00000000"/>
  </w:font>
  <w:font w:name="Arial">
    <w:panose1 w:val="020B0604020202020204"/>
    <w:charset w:val="01"/>
    <w:family w:val="swiss"/>
    <w:pitch w:val="variable"/>
    <w:sig w:usb0="E0002AFF" w:usb1="C0007843" w:usb2="00000009" w:usb3="00000000" w:csb0="400001FF" w:csb1="FFFF0000"/>
  </w:font>
  <w:font w:name="楷体">
    <w:panose1 w:val="02010609060101010101"/>
    <w:charset w:val="86"/>
    <w:family w:val="auto"/>
    <w:pitch w:val="variable"/>
    <w:sig w:usb0="800002BF" w:usb1="38CF7CFA" w:usb2="00000016" w:usb3="00000000" w:csb0="00040001" w:csb1="00000000"/>
  </w:font>
  <w:font w:name="方正黑体简体">
    <w:altName w:val="微软雅黑"/>
    <w:panose1 w:val="03000509000000000000"/>
    <w:charset w:val="86"/>
    <w:family w:val="auto"/>
    <w:pitch w:val="variable"/>
    <w:sig w:usb0="00000001" w:usb1="080E0000" w:usb2="00000000" w:usb3="00000000" w:csb0="00040000" w:csb1="00000000"/>
  </w:font>
  <w:font w:name="仿宋_GB2312">
    <w:altName w:val="仿宋"/>
    <w:panose1 w:val="00000000000000000000"/>
    <w:charset w:val="86"/>
    <w:family w:val="modern"/>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7"/>
      </w:tabs>
    </w:pPr>
    <w:r>
      <w:tab/>
    </w:r>
    <w:r>
      <w:fldChar w:fldCharType="begin"/>
    </w:r>
    <w:r>
      <w:instrText>PAGE</w:instrText>
    </w:r>
    <w:r>
      <w:fldChar w:fldCharType="separate"/>
    </w:r>
    <w:r>
      <w:t>1</w:t>
    </w:r>
    <w:r>
      <w:fldChar w:fldCharType="end"/>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7"/>
      </w:tabs>
      <w:jc w:val="center"/>
      <w:rPr>
        <w:sz w:val="32"/>
        <w:szCs w:val="32"/>
      </w:rPr>
    </w:pPr>
    <w:r>
      <w:rPr>
        <w:sz w:val="32"/>
      </w:rPr>
      <mc:AlternateContent>
        <mc:Choice Requires="wps">
          <w:drawing>
            <wp:anchor distT="0" distB="0" distL="114298" distR="114298" simplePos="0" relativeHeight="20"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6" name="矩形 19"/>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17">
                      <w:txbxContent>
                        <w:p>
                          <w:pPr>
                            <w:pStyle w:val="20"/>
                            <w:tabs>
                              <w:tab w:val="center" w:pos="4153"/>
                              <w:tab w:val="right" w:pos="8307"/>
                            </w:tabs>
                          </w:pPr>
                          <w:r>
                            <w:fldChar w:fldCharType="begin"/>
                          </w:r>
                          <w:r>
                            <w:instrText xml:space="preserve"> PAGE  \* MERGEFORMAT </w:instrText>
                          </w:r>
                          <w:r>
                            <w:fldChar w:fldCharType="separate"/>
                          </w:r>
                          <w:r>
                            <w:t>23</w:t>
                          </w:r>
                          <w:r>
                            <w:fldChar w:fldCharType="end"/>
                          </w:r>
                        </w:p>
                      </w:txbxContent>
                    </wps:txbx>
                    <wps:bodyPr vert="horz" wrap="none" lIns="0" tIns="0" rIns="0" bIns="0" anchor="t" anchorCtr="0" upright="1">
                      <a:spAutoFit/>
                    </wps:bodyPr>
                  </wps:wsp>
                </a:graphicData>
              </a:graphic>
            </wp:anchor>
          </w:drawing>
        </mc:Choice>
        <mc:Fallback>
          <w:pict>
            <v:rect type="#_x0000_t1" id="矩形 19 18" o:spid="_x0000_s18" filled="f" stroked="f" style="position:absolute;margin-left:0.0pt;margin-top:0.0pt;width:9.0pt;height:10.350001pt;z-index:20;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20"/>
                      <w:tabs>
                        <w:tab w:val="center" w:pos="4153"/>
                        <w:tab w:val="right" w:pos="8307"/>
                      </w:tabs>
                    </w:pPr>
                    <w:r>
                      <w:fldChar w:fldCharType="begin"/>
                    </w:r>
                    <w:r>
                      <w:instrText xml:space="preserve"> PAGE  \* MERGEFORMAT </w:instrText>
                    </w:r>
                    <w:r>
                      <w:fldChar w:fldCharType="separate"/>
                    </w:r>
                    <w:r>
                      <w:t>23</w:t>
                    </w:r>
                    <w: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displayBackgroundShape/>
  <w:bordersDoNotSurroundHeader w:val="0"/>
  <w:bordersDoNotSurroundFooter w:val="0"/>
  <w:defaultTabStop w:val="420"/>
  <w:drawingGridHorizontalSpacing w:val="210"/>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customStyle="1" w:styleId="15">
    <w:name w:val="样式 22 10 磅109"/>
    <w:pPr>
      <w:widowControl w:val="0"/>
      <w:jc w:val="both"/>
    </w:pPr>
    <w:rPr>
      <w:rFonts w:ascii="Times New Roman" w:eastAsia="宋体" w:cs="Times New Roman" w:hAnsi="Times New Roman"/>
      <w:kern w:val="2"/>
      <w:sz w:val="21"/>
      <w:szCs w:val="24"/>
      <w:lang w:val="en-US" w:eastAsia="zh-CN" w:bidi="ar-SA"/>
    </w:rPr>
  </w:style>
  <w:style w:type="paragraph" w:styleId="16">
    <w:name w:val="annotation text"/>
    <w:basedOn w:val="0"/>
    <w:pPr>
      <w:jc w:val="left"/>
    </w:pPr>
  </w:style>
  <w:style w:type="paragraph" w:styleId="17">
    <w:name w:val="annotation subject"/>
    <w:basedOn w:val="16"/>
    <w:next w:val="16"/>
    <w:rPr>
      <w:b/>
      <w:bCs/>
    </w:rPr>
  </w:style>
  <w:style w:type="paragraph" w:styleId="18">
    <w:name w:val="toc 3"/>
    <w:basedOn w:val="0"/>
    <w:next w:val="0"/>
    <w:pPr>
      <w:ind w:left="840"/>
    </w:pPr>
  </w:style>
  <w:style w:type="paragraph" w:styleId="19">
    <w:name w:val="Balloon Text"/>
    <w:basedOn w:val="0"/>
    <w:rPr>
      <w:sz w:val="18"/>
      <w:szCs w:val="18"/>
    </w:rPr>
  </w:style>
  <w:style w:type="paragraph" w:styleId="20">
    <w:name w:val="footer"/>
    <w:basedOn w:val="0"/>
    <w:pPr>
      <w:tabs>
        <w:tab w:val="center" w:pos="4153"/>
        <w:tab w:val="right" w:pos="8307"/>
      </w:tabs>
      <w:snapToGrid w:val="0"/>
      <w:jc w:val="left"/>
    </w:pPr>
    <w:rPr>
      <w:sz w:val="18"/>
    </w:rPr>
  </w:style>
  <w:style w:type="paragraph" w:styleId="21">
    <w:name w:val="header"/>
    <w:basedOn w:val="0"/>
    <w:pPr>
      <w:pBdr>
        <w:bottom w:val="single" w:sz="6" w:space="1" w:color="auto"/>
      </w:pBdr>
      <w:tabs>
        <w:tab w:val="center" w:pos="4153"/>
        <w:tab w:val="right" w:pos="8307"/>
      </w:tabs>
      <w:snapToGrid w:val="0"/>
      <w:jc w:val="center"/>
    </w:pPr>
    <w:rPr>
      <w:sz w:val="18"/>
    </w:rPr>
  </w:style>
  <w:style w:type="paragraph" w:styleId="22">
    <w:name w:val="index 7"/>
    <w:basedOn w:val="0"/>
    <w:next w:val="0"/>
    <w:pPr>
      <w:ind w:left="2520"/>
    </w:pPr>
  </w:style>
  <w:style w:type="paragraph" w:styleId="23">
    <w:name w:val="toc 2"/>
    <w:basedOn w:val="0"/>
    <w:next w:val="0"/>
    <w:pPr>
      <w:ind w:left="420"/>
    </w:pPr>
  </w:style>
  <w:style w:type="paragraph" w:styleId="24">
    <w:name w:val="Normal (Web)"/>
    <w:next w:val="21"/>
    <w:rPr>
      <w:rFonts w:ascii="宋体" w:eastAsia="宋体" w:cs="Times New Roman"/>
      <w:sz w:val="24"/>
      <w:szCs w:val="20"/>
      <w:lang w:val="en-US" w:eastAsia="zh-CN" w:bidi="ar-SA"/>
    </w:rPr>
  </w:style>
  <w:style w:type="character" w:styleId="25">
    <w:name w:val="page number"/>
  </w:style>
  <w:style w:type="character" w:styleId="26">
    <w:name w:val="annotation reference"/>
    <w:rPr>
      <w:sz w:val="21"/>
      <w:szCs w:val="21"/>
    </w:rPr>
  </w:style>
  <w:style w:type="paragraph" w:customStyle="1" w:styleId="27">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6">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7">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8">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0">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1">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2">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5 10 磅"/>
    <w:next w:val="23"/>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9">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0">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2">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5">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6">
    <w:name w:val="font21"/>
    <w:rPr>
      <w:rFonts w:ascii="宋体" w:eastAsia="宋体" w:cs="宋体"/>
      <w:color w:val="000000"/>
      <w:sz w:val="24"/>
      <w:szCs w:val="24"/>
      <w:u w:val="none"/>
      <w:lang w:bidi="ar-SA"/>
    </w:rPr>
  </w:style>
  <w:style w:type="paragraph" w:customStyle="1" w:styleId="2337">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png"/><Relationship Id="rId4" Type="http://schemas.openxmlformats.org/officeDocument/2006/relationships/image" Target="media/5.png"/><Relationship Id="rId5" Type="http://schemas.openxmlformats.org/officeDocument/2006/relationships/image" Target="media/8.png"/><Relationship Id="rId6" Type="http://schemas.openxmlformats.org/officeDocument/2006/relationships/image" Target="media/11.png"/><Relationship Id="rId7" Type="http://schemas.openxmlformats.org/officeDocument/2006/relationships/image" Target="media/14.png"/><Relationship Id="rId8" Type="http://schemas.openxmlformats.org/officeDocument/2006/relationships/footer" Target="footer2.xml"/><Relationship Id="rId9" Type="http://schemas.openxmlformats.org/officeDocument/2006/relationships/styles" Target="styles.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27</TotalTime>
  <Application>Yozo_Office</Application>
  <Pages>40</Pages>
  <Words>10554</Words>
  <Characters>13880</Characters>
  <Lines>2508</Lines>
  <Paragraphs>1262</Paragraphs>
  <CharactersWithSpaces>14735</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满洲里海关总值班室</cp:lastModifiedBy>
  <cp:revision>3</cp:revision>
  <cp:lastPrinted>2024-04-25T01:35:00Z</cp:lastPrinted>
  <dcterms:created xsi:type="dcterms:W3CDTF">2019-04-01T07:55:00Z</dcterms:created>
  <dcterms:modified xsi:type="dcterms:W3CDTF">2025-08-19T07:07:36Z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2052-10.1.0.7698</vt:lpwstr>
  </property>
</Properties>
</file>