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ind w:left="0" w:firstLine="640"/>
        <w:jc w:val="center"/>
        <w:rPr>
          <w:rFonts w:ascii="Times New Roman" w:hAnsi="Times New Roman"/>
          <w:sz w:val="48"/>
          <w:szCs w:val="48"/>
        </w:rPr>
      </w:pPr>
      <w:bookmarkStart w:id="0" w:name="_GoBack"/>
      <w:bookmarkEnd w:id="0"/>
      <w:r>
        <w:rPr>
          <w:rFonts w:ascii="Times New Roman" w:hAnsi="Times New Roman" w:hint="eastAsia"/>
          <w:sz w:val="48"/>
          <w:szCs w:val="48"/>
        </w:rPr>
        <w:t xml:space="preserve">       </w:t>
      </w:r>
    </w:p>
    <w:p>
      <w:pPr>
        <w:ind w:left="0" w:firstLine="640"/>
        <w:jc w:val="center"/>
        <w:rPr>
          <w:rFonts w:ascii="Times New Roman" w:hAnsi="Times New Roman"/>
          <w:sz w:val="48"/>
          <w:szCs w:val="48"/>
        </w:rPr>
      </w:pPr>
    </w:p>
    <w:p>
      <w:pPr>
        <w:ind w:left="0" w:firstLine="640"/>
        <w:jc w:val="center"/>
        <w:rPr>
          <w:rFonts w:ascii="Times New Roman" w:hAnsi="Times New Roman"/>
          <w:sz w:val="48"/>
          <w:szCs w:val="48"/>
        </w:rPr>
      </w:pPr>
    </w:p>
    <w:p>
      <w:pPr>
        <w:ind w:left="0" w:firstLine="640"/>
        <w:jc w:val="center"/>
        <w:rPr>
          <w:rFonts w:ascii="Times New Roman" w:hAnsi="Times New Roman"/>
          <w:sz w:val="48"/>
          <w:szCs w:val="48"/>
        </w:rPr>
      </w:pPr>
    </w:p>
    <w:p>
      <w:pPr>
        <w:ind w:left="0" w:firstLine="640"/>
        <w:jc w:val="center"/>
        <w:rPr>
          <w:rFonts w:ascii="Times New Roman" w:hAnsi="Times New Roman"/>
          <w:sz w:val="48"/>
          <w:szCs w:val="48"/>
        </w:rPr>
      </w:pPr>
      <w:r>
        <w:rPr>
          <w:rFonts w:ascii="Times New Roman" w:hAnsi="Times New Roman"/>
        </w:rPr>
        <w:drawing>
          <wp:inline distT="0" distB="0" distL="0" distR="0">
            <wp:extent cx="3067050" cy="3067050"/>
            <wp:effectExtent l="0" t="0" r="0" b="0"/>
            <wp:docPr id="1" name="图片 1" descr="C:\Users\lenovo\AppData\Local\Temp\ksohtml11336\wps1.jpg"/>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3067050" cy="3067050"/>
                    </a:xfrm>
                    <a:prstGeom prst="rect"/>
                    <a:noFill/>
                    <a:ln w="9525" cmpd="sng" cap="flat">
                      <a:noFill/>
                      <a:prstDash val="solid"/>
                      <a:round/>
                    </a:ln>
                  </pic:spPr>
                </pic:pic>
              </a:graphicData>
            </a:graphic>
          </wp:inline>
        </w:drawing>
      </w:r>
    </w:p>
    <w:p>
      <w:pPr>
        <w:ind w:left="0" w:firstLine="640"/>
        <w:jc w:val="center"/>
        <w:rPr>
          <w:rFonts w:ascii="Times New Roman" w:hAnsi="Times New Roman"/>
          <w:sz w:val="48"/>
          <w:szCs w:val="48"/>
        </w:rPr>
      </w:pPr>
      <w:r>
        <w:rPr>
          <w:rFonts w:ascii="Times New Roman" w:hAnsi="Times New Roman" w:hint="eastAsia"/>
          <w:sz w:val="48"/>
          <w:szCs w:val="48"/>
        </w:rPr>
        <w:t xml:space="preserve">                   </w:t>
      </w:r>
    </w:p>
    <w:p>
      <w:pPr>
        <w:ind w:left="0" w:firstLine="0"/>
        <w:jc w:val="center"/>
        <w:rPr>
          <w:rFonts w:ascii="Times New Roman" w:hAnsi="Times New Roman"/>
          <w:sz w:val="84"/>
          <w:szCs w:val="84"/>
        </w:rPr>
      </w:pPr>
      <w:r>
        <w:rPr>
          <w:rFonts w:ascii="Times New Roman" w:hAnsi="Times New Roman" w:hint="eastAsia"/>
          <w:sz w:val="84"/>
          <w:szCs w:val="84"/>
        </w:rPr>
        <w:t>通辽海关部门</w:t>
      </w:r>
      <w:r>
        <w:rPr>
          <w:rFonts w:ascii="Times New Roman" w:hAnsi="Times New Roman"/>
          <w:sz w:val="84"/>
          <w:szCs w:val="84"/>
        </w:rPr>
        <w:t>决算</w:t>
      </w:r>
    </w:p>
    <w:p>
      <w:pPr>
        <w:ind w:left="0" w:firstLine="0"/>
        <w:jc w:val="center"/>
        <w:rPr>
          <w:rFonts w:ascii="Times New Roman" w:hAnsi="Times New Roman"/>
          <w:sz w:val="44"/>
          <w:szCs w:val="44"/>
        </w:rPr>
      </w:pPr>
      <w:r>
        <w:rPr>
          <w:rFonts w:ascii="Times New Roman" w:hAnsi="Times New Roman" w:hint="eastAsia"/>
          <w:sz w:val="44"/>
          <w:szCs w:val="44"/>
        </w:rPr>
        <w:t>202</w:t>
      </w:r>
      <w:r>
        <w:rPr>
          <w:rFonts w:ascii="Times New Roman" w:hAnsi="Times New Roman" w:hint="eastAsia"/>
          <w:sz w:val="44"/>
          <w:szCs w:val="44"/>
          <w:lang w:val="en-US" w:eastAsia="zh-CN"/>
        </w:rPr>
        <w:t>4</w:t>
      </w:r>
      <w:r>
        <w:rPr>
          <w:rFonts w:ascii="Times New Roman" w:hAnsi="Times New Roman" w:hint="eastAsia"/>
          <w:sz w:val="44"/>
          <w:szCs w:val="44"/>
        </w:rPr>
        <w:t>年</w:t>
      </w:r>
    </w:p>
    <w:p>
      <w:pPr>
        <w:ind w:left="0" w:firstLine="640"/>
        <w:jc w:val="center"/>
        <w:rPr>
          <w:rFonts w:ascii="Times New Roman" w:hAnsi="Times New Roman"/>
          <w:sz w:val="44"/>
          <w:szCs w:val="44"/>
        </w:rPr>
      </w:pPr>
      <w:r>
        <w:rPr>
          <w:rFonts w:ascii="Times New Roman" w:hAnsi="Times New Roman" w:hint="eastAsia"/>
          <w:sz w:val="44"/>
          <w:szCs w:val="44"/>
        </w:rPr>
        <w:t xml:space="preserve"> </w:t>
      </w: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sectPr>
          <w:pgSz w:w="11906" w:h="16838"/>
          <w:pgMar w:top="1440" w:right="1995" w:bottom="1440" w:left="1803" w:header="851" w:footer="992" w:gutter="0"/>
          <w:pgNumType w:start="0"/>
          <w:docGrid w:type="lines" w:linePitch="312" w:charSpace="0"/>
        </w:sectPr>
      </w:pPr>
    </w:p>
    <w:p>
      <w:pPr>
        <w:ind w:left="0" w:firstLine="640"/>
        <w:jc w:val="center"/>
        <w:rPr>
          <w:rFonts w:ascii="Times New Roman" w:cs="Times New Roman" w:hAnsi="Times New Roman"/>
          <w:b/>
          <w:sz w:val="84"/>
          <w:szCs w:val="84"/>
        </w:rPr>
      </w:pPr>
      <w:r>
        <w:rPr>
          <w:rFonts w:ascii="Times New Roman" w:eastAsia="方正仿宋_GBK" w:hAnsi="Times New Roman"/>
          <w:sz w:val="84"/>
          <w:szCs w:val="84"/>
        </w:rPr>
        <w:tab/>
      </w:r>
      <w:r>
        <w:rPr>
          <w:rFonts w:ascii="宋体" w:hint="eastAsia"/>
          <w:b/>
          <w:sz w:val="84"/>
          <w:szCs w:val="84"/>
        </w:rPr>
        <w:t>目</w:t>
      </w:r>
      <w:r>
        <w:rPr>
          <w:b/>
          <w:sz w:val="84"/>
          <w:szCs w:val="84"/>
        </w:rPr>
        <w:t xml:space="preserve">  </w:t>
      </w:r>
      <w:r>
        <w:rPr>
          <w:rFonts w:ascii="宋体" w:hint="eastAsia"/>
          <w:b/>
          <w:sz w:val="84"/>
          <w:szCs w:val="84"/>
        </w:rPr>
        <w:t>录</w:t>
      </w:r>
    </w:p>
    <w:p>
      <w:pPr>
        <w:ind w:left="0" w:firstLine="640"/>
        <w:jc w:val="center"/>
        <w:rPr>
          <w:b/>
          <w:sz w:val="84"/>
          <w:szCs w:val="84"/>
        </w:rPr>
      </w:pPr>
      <w:r>
        <w:rPr>
          <w:b/>
          <w:sz w:val="84"/>
          <w:szCs w:val="84"/>
        </w:rPr>
        <w:t xml:space="preserve"> </w:t>
      </w:r>
    </w:p>
    <w:p>
      <w:pPr>
        <w:ind w:left="0" w:firstLine="640"/>
        <w:rPr>
          <w:b/>
          <w:sz w:val="44"/>
          <w:szCs w:val="44"/>
        </w:rPr>
      </w:pPr>
      <w:r>
        <w:rPr>
          <w:rFonts w:ascii="宋体" w:hint="eastAsia"/>
          <w:b/>
          <w:sz w:val="44"/>
          <w:szCs w:val="44"/>
        </w:rPr>
        <w:t>第一部分</w:t>
      </w:r>
      <w:r>
        <w:rPr>
          <w:rFonts w:hint="eastAsia"/>
          <w:b/>
          <w:sz w:val="44"/>
          <w:szCs w:val="44"/>
        </w:rPr>
        <w:t xml:space="preserve">  通辽</w:t>
      </w:r>
      <w:r>
        <w:rPr>
          <w:rFonts w:ascii="宋体" w:hint="eastAsia"/>
          <w:b/>
          <w:sz w:val="44"/>
          <w:szCs w:val="44"/>
        </w:rPr>
        <w:t>海关概况</w:t>
      </w:r>
    </w:p>
    <w:p>
      <w:pPr>
        <w:ind w:left="0" w:firstLine="640"/>
        <w:rPr>
          <w:sz w:val="36"/>
          <w:szCs w:val="36"/>
        </w:rPr>
      </w:pPr>
      <w:r>
        <w:rPr>
          <w:rFonts w:ascii="宋体" w:hint="eastAsia"/>
          <w:sz w:val="36"/>
          <w:szCs w:val="36"/>
        </w:rPr>
        <w:t>一、主要职能</w:t>
      </w:r>
    </w:p>
    <w:p>
      <w:pPr>
        <w:ind w:left="0" w:firstLine="640"/>
        <w:rPr>
          <w:sz w:val="36"/>
          <w:szCs w:val="36"/>
        </w:rPr>
      </w:pPr>
      <w:r>
        <w:rPr>
          <w:rFonts w:ascii="宋体" w:hint="eastAsia"/>
          <w:sz w:val="36"/>
          <w:szCs w:val="36"/>
        </w:rPr>
        <w:t>二、通辽海关单位构成情况</w:t>
      </w:r>
      <w:r>
        <w:rPr>
          <w:rFonts w:hint="eastAsia"/>
          <w:sz w:val="36"/>
          <w:szCs w:val="36"/>
        </w:rPr>
        <w:t xml:space="preserve"> </w:t>
      </w:r>
    </w:p>
    <w:p>
      <w:pPr>
        <w:ind w:left="0" w:firstLine="640"/>
        <w:rPr>
          <w:b/>
          <w:sz w:val="44"/>
          <w:szCs w:val="44"/>
        </w:rPr>
      </w:pPr>
      <w:r>
        <w:rPr>
          <w:rFonts w:ascii="宋体" w:hint="eastAsia"/>
          <w:b/>
          <w:sz w:val="44"/>
          <w:szCs w:val="44"/>
        </w:rPr>
        <w:t>第二部分</w:t>
      </w:r>
      <w:r>
        <w:rPr>
          <w:rFonts w:hint="eastAsia"/>
          <w:b/>
          <w:sz w:val="44"/>
          <w:szCs w:val="44"/>
        </w:rPr>
        <w:t xml:space="preserve">  通辽</w:t>
      </w:r>
      <w:r>
        <w:rPr>
          <w:rFonts w:ascii="宋体" w:hint="eastAsia"/>
          <w:b/>
          <w:sz w:val="44"/>
          <w:szCs w:val="44"/>
        </w:rPr>
        <w:t>海关</w:t>
      </w:r>
      <w:r>
        <w:rPr>
          <w:b/>
          <w:sz w:val="44"/>
          <w:szCs w:val="44"/>
        </w:rPr>
        <w:t>202</w:t>
      </w:r>
      <w:r>
        <w:rPr>
          <w:rFonts w:hint="eastAsia"/>
          <w:b/>
          <w:sz w:val="44"/>
          <w:szCs w:val="44"/>
          <w:lang w:val="en-US" w:eastAsia="zh-CN"/>
        </w:rPr>
        <w:t>4</w:t>
      </w:r>
      <w:r>
        <w:rPr>
          <w:rFonts w:ascii="宋体" w:hint="eastAsia"/>
          <w:b/>
          <w:sz w:val="44"/>
          <w:szCs w:val="44"/>
        </w:rPr>
        <w:t>年部门</w:t>
      </w:r>
      <w:r>
        <w:rPr>
          <w:rFonts w:ascii="宋体"/>
          <w:b/>
          <w:sz w:val="44"/>
          <w:szCs w:val="44"/>
        </w:rPr>
        <w:t>决算</w:t>
      </w:r>
      <w:r>
        <w:rPr>
          <w:rFonts w:ascii="宋体" w:hint="eastAsia"/>
          <w:b/>
          <w:sz w:val="44"/>
          <w:szCs w:val="44"/>
        </w:rPr>
        <w:t>表</w:t>
      </w:r>
    </w:p>
    <w:p>
      <w:pPr>
        <w:ind w:left="0" w:firstLine="640"/>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29"/>
        <w:ind w:left="0" w:firstLine="640"/>
        <w:rPr>
          <w:sz w:val="36"/>
          <w:szCs w:val="36"/>
        </w:rPr>
      </w:pPr>
      <w:r>
        <w:rPr>
          <w:rFonts w:ascii="宋体" w:hint="eastAsia"/>
          <w:sz w:val="36"/>
          <w:szCs w:val="36"/>
        </w:rPr>
        <w:t>二、部门收入总表</w:t>
      </w:r>
    </w:p>
    <w:p>
      <w:pPr>
        <w:pStyle w:val="28"/>
        <w:ind w:left="0" w:firstLine="640"/>
        <w:rPr>
          <w:sz w:val="36"/>
          <w:szCs w:val="36"/>
        </w:rPr>
      </w:pPr>
      <w:r>
        <w:rPr>
          <w:rFonts w:ascii="宋体" w:hint="eastAsia"/>
          <w:sz w:val="36"/>
          <w:szCs w:val="36"/>
        </w:rPr>
        <w:t>三、部门支出总表</w:t>
      </w:r>
    </w:p>
    <w:p>
      <w:pPr>
        <w:ind w:left="0" w:firstLine="640"/>
        <w:rPr>
          <w:sz w:val="36"/>
          <w:szCs w:val="36"/>
        </w:rPr>
      </w:pPr>
      <w:r>
        <w:rPr>
          <w:rFonts w:ascii="宋体" w:hint="eastAsia"/>
          <w:sz w:val="36"/>
          <w:szCs w:val="36"/>
        </w:rPr>
        <w:t>四、</w:t>
      </w:r>
      <w:r>
        <w:rPr>
          <w:rFonts w:ascii="宋体"/>
          <w:sz w:val="36"/>
          <w:szCs w:val="36"/>
        </w:rPr>
        <w:t>财政拨款收支总表</w:t>
      </w:r>
    </w:p>
    <w:p>
      <w:pPr>
        <w:ind w:left="0" w:firstLine="640"/>
        <w:rPr>
          <w:sz w:val="36"/>
          <w:szCs w:val="36"/>
        </w:rPr>
      </w:pPr>
      <w:r>
        <w:rPr>
          <w:rFonts w:ascii="宋体" w:hint="eastAsia"/>
          <w:sz w:val="36"/>
          <w:szCs w:val="36"/>
        </w:rPr>
        <w:t>五、</w:t>
      </w:r>
      <w:r>
        <w:rPr>
          <w:rFonts w:ascii="宋体"/>
          <w:sz w:val="36"/>
          <w:szCs w:val="36"/>
        </w:rPr>
        <w:t>一般公共预算支出表</w:t>
      </w:r>
    </w:p>
    <w:p>
      <w:pPr>
        <w:ind w:left="0" w:firstLine="640"/>
        <w:rPr>
          <w:color w:val="339966"/>
          <w:sz w:val="36"/>
          <w:szCs w:val="36"/>
        </w:rPr>
      </w:pPr>
      <w:r>
        <w:rPr>
          <w:rFonts w:ascii="宋体" w:hint="eastAsia"/>
          <w:sz w:val="36"/>
          <w:szCs w:val="36"/>
        </w:rPr>
        <w:t>六、</w:t>
      </w:r>
      <w:r>
        <w:rPr>
          <w:rFonts w:ascii="宋体"/>
          <w:sz w:val="36"/>
          <w:szCs w:val="36"/>
        </w:rPr>
        <w:t>一般公共预算基本支出表</w:t>
      </w:r>
    </w:p>
    <w:p>
      <w:pPr>
        <w:ind w:left="0" w:firstLine="640"/>
        <w:rPr>
          <w:sz w:val="36"/>
          <w:szCs w:val="36"/>
        </w:rPr>
      </w:pPr>
      <w:r>
        <w:rPr>
          <w:rFonts w:ascii="宋体" w:hint="eastAsia"/>
          <w:sz w:val="36"/>
          <w:szCs w:val="36"/>
        </w:rPr>
        <w:t>七、</w:t>
      </w:r>
      <w:r>
        <w:rPr>
          <w:rFonts w:ascii="宋体"/>
          <w:sz w:val="36"/>
          <w:szCs w:val="36"/>
        </w:rPr>
        <w:t>政府性基金预算支出表</w:t>
      </w:r>
    </w:p>
    <w:p>
      <w:pPr>
        <w:ind w:left="0" w:firstLine="640"/>
        <w:rPr>
          <w:rFonts w:ascii="宋体"/>
          <w:sz w:val="36"/>
          <w:szCs w:val="36"/>
        </w:rPr>
      </w:pPr>
      <w:r>
        <w:rPr>
          <w:rFonts w:ascii="宋体" w:hint="eastAsia"/>
          <w:sz w:val="36"/>
          <w:szCs w:val="36"/>
        </w:rPr>
        <w:t>八、</w:t>
      </w:r>
      <w:r>
        <w:rPr>
          <w:rFonts w:ascii="宋体"/>
          <w:sz w:val="36"/>
          <w:szCs w:val="36"/>
        </w:rPr>
        <w:t>国有资本经营预算支出表</w:t>
      </w:r>
    </w:p>
    <w:p>
      <w:pPr>
        <w:ind w:left="0" w:firstLine="640"/>
        <w:rPr>
          <w:sz w:val="36"/>
          <w:szCs w:val="36"/>
        </w:rPr>
      </w:pPr>
      <w:r>
        <w:rPr>
          <w:rFonts w:ascii="宋体"/>
          <w:sz w:val="36"/>
          <w:szCs w:val="36"/>
        </w:rPr>
        <w:t>九、</w:t>
      </w:r>
      <w:r>
        <w:rPr>
          <w:rFonts w:ascii="宋体" w:hint="eastAsia"/>
          <w:sz w:val="36"/>
          <w:szCs w:val="36"/>
        </w:rPr>
        <w:t>财政拨款预算“三公”经费支出表</w:t>
      </w:r>
    </w:p>
    <w:p>
      <w:pPr>
        <w:ind w:left="0" w:firstLine="640"/>
        <w:rPr>
          <w:rFonts w:ascii="宋体"/>
          <w:b/>
          <w:sz w:val="44"/>
          <w:szCs w:val="44"/>
        </w:rPr>
      </w:pPr>
      <w:r>
        <w:rPr>
          <w:rFonts w:ascii="宋体" w:hint="eastAsia"/>
          <w:b/>
          <w:sz w:val="44"/>
          <w:szCs w:val="44"/>
        </w:rPr>
        <w:t>第三部分</w:t>
      </w:r>
      <w:r>
        <w:rPr>
          <w:rFonts w:hint="eastAsia"/>
          <w:b/>
          <w:sz w:val="44"/>
          <w:szCs w:val="44"/>
        </w:rPr>
        <w:t xml:space="preserve">  通辽</w:t>
      </w:r>
      <w:r>
        <w:rPr>
          <w:rFonts w:ascii="宋体" w:hint="eastAsia"/>
          <w:b/>
          <w:sz w:val="44"/>
          <w:szCs w:val="44"/>
        </w:rPr>
        <w:t>海关</w:t>
      </w:r>
      <w:r>
        <w:rPr>
          <w:b/>
          <w:sz w:val="44"/>
          <w:szCs w:val="44"/>
        </w:rPr>
        <w:t>202</w:t>
      </w:r>
      <w:r>
        <w:rPr>
          <w:rFonts w:hint="eastAsia"/>
          <w:b/>
          <w:sz w:val="44"/>
          <w:szCs w:val="44"/>
          <w:lang w:val="en-US" w:eastAsia="zh-CN"/>
        </w:rPr>
        <w:t>4</w:t>
      </w:r>
      <w:r>
        <w:rPr>
          <w:rFonts w:ascii="宋体" w:hint="eastAsia"/>
          <w:b/>
          <w:sz w:val="44"/>
          <w:szCs w:val="44"/>
        </w:rPr>
        <w:t>年部门</w:t>
      </w:r>
      <w:r>
        <w:rPr>
          <w:rFonts w:ascii="宋体"/>
          <w:b/>
          <w:sz w:val="44"/>
          <w:szCs w:val="44"/>
        </w:rPr>
        <w:t>决算</w:t>
      </w:r>
    </w:p>
    <w:p>
      <w:pPr>
        <w:ind w:left="0" w:firstLineChars="645" w:firstLine="2838"/>
        <w:rPr>
          <w:b/>
          <w:sz w:val="44"/>
          <w:szCs w:val="44"/>
        </w:rPr>
      </w:pPr>
      <w:r>
        <w:rPr>
          <w:rFonts w:ascii="宋体" w:hint="eastAsia"/>
          <w:b/>
          <w:sz w:val="44"/>
          <w:szCs w:val="44"/>
        </w:rPr>
        <w:t>情况说明</w:t>
      </w:r>
    </w:p>
    <w:p>
      <w:pPr>
        <w:ind w:left="0" w:firstLine="640"/>
        <w:rPr>
          <w:b/>
          <w:sz w:val="44"/>
          <w:szCs w:val="44"/>
        </w:rPr>
      </w:pPr>
      <w:r>
        <w:rPr>
          <w:rFonts w:ascii="宋体" w:hint="eastAsia"/>
          <w:b/>
          <w:sz w:val="44"/>
          <w:szCs w:val="44"/>
        </w:rPr>
        <w:t>第四部分</w:t>
      </w:r>
      <w:r>
        <w:rPr>
          <w:rFonts w:hint="eastAsia"/>
          <w:b/>
          <w:sz w:val="44"/>
          <w:szCs w:val="44"/>
        </w:rPr>
        <w:t xml:space="preserve">  </w:t>
      </w:r>
      <w:r>
        <w:rPr>
          <w:rFonts w:ascii="宋体" w:hint="eastAsia"/>
          <w:b/>
          <w:sz w:val="44"/>
          <w:szCs w:val="44"/>
        </w:rPr>
        <w:t>名词解释</w:t>
      </w: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0"/>
        <w:jc w:val="center"/>
        <w:rPr>
          <w:rFonts w:ascii="Times New Roman" w:hAnsi="Times New Roman"/>
          <w:b/>
          <w:sz w:val="84"/>
          <w:szCs w:val="84"/>
        </w:rPr>
      </w:pPr>
      <w:r>
        <w:rPr>
          <w:rFonts w:ascii="Times New Roman" w:hAnsi="Times New Roman" w:hint="eastAsia"/>
          <w:b/>
          <w:sz w:val="84"/>
          <w:szCs w:val="84"/>
        </w:rPr>
        <w:t>第一部分</w:t>
      </w:r>
    </w:p>
    <w:p>
      <w:pPr>
        <w:ind w:left="0" w:firstLine="0"/>
        <w:jc w:val="center"/>
        <w:rPr>
          <w:rFonts w:ascii="Times New Roman" w:hAnsi="Times New Roman"/>
          <w:b/>
          <w:sz w:val="84"/>
          <w:szCs w:val="84"/>
        </w:rPr>
      </w:pPr>
      <w:r>
        <w:rPr>
          <w:rFonts w:ascii="Times New Roman" w:hAnsi="Times New Roman" w:hint="eastAsia"/>
          <w:b/>
          <w:sz w:val="84"/>
          <w:szCs w:val="84"/>
        </w:rPr>
        <w:t>通辽海关概况</w:t>
      </w: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spacing w:line="560" w:lineRule="exact"/>
        <w:ind w:left="0" w:firstLine="640"/>
        <w:jc w:val="left"/>
        <w:rPr>
          <w:rFonts w:ascii="Times New Roman" w:eastAsia="方正黑体_GBK" w:hAnsi="Times New Roman"/>
          <w:sz w:val="32"/>
          <w:szCs w:val="32"/>
        </w:rPr>
      </w:pPr>
      <w:r>
        <w:rPr>
          <w:rFonts w:ascii="Times New Roman" w:eastAsia="方正黑体_GBK" w:hAnsi="Times New Roman" w:hint="eastAsia"/>
          <w:sz w:val="32"/>
          <w:szCs w:val="32"/>
        </w:rPr>
        <w:t>一、主要职能</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通辽海关是隶属于满洲里海关，负责相关区域范围内海关运行管理、监督监控的正处级隶属海关。通辽海关管辖范围为内蒙古自治区通辽市的各项海关工作。主要职责是：</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一）负责本关区海关工作。全面贯彻落实党中央、国务院关于海关工作的方针政策和决策部署，按照海关总署工作部署和满洲里海关工作安排完成海关（含出入境检验检疫，下同）工作，履行全面从严治党责任。</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（二）负责贯彻执行与海关管理相关的法律、法规、规章、规范性文件和相关技术规范，负责本关区征税、监管、缉私、出入境检验检疫、统计等海关工作。。</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（三）负责本关区各类执法风险、管理风险和廉政风险的防范和化解，负责本关区基层党组织建设、队伍建设和日常管理工作。</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（四）完成海关总署、满洲里海关交办的其他任务。</w:t>
      </w:r>
    </w:p>
    <w:p>
      <w:pPr>
        <w:spacing w:line="560" w:lineRule="exact"/>
        <w:ind w:left="0" w:firstLine="640"/>
        <w:jc w:val="left"/>
        <w:rPr>
          <w:rFonts w:ascii="Times New Roman" w:eastAsia="方正黑体_GBK" w:hAnsi="Times New Roman"/>
          <w:sz w:val="32"/>
          <w:szCs w:val="32"/>
        </w:rPr>
      </w:pPr>
      <w:r>
        <w:rPr>
          <w:rFonts w:ascii="Times New Roman" w:eastAsia="方正黑体_GBK" w:hAnsi="Times New Roman" w:hint="eastAsia"/>
          <w:sz w:val="32"/>
          <w:szCs w:val="32"/>
        </w:rPr>
        <w:t>二</w:t>
      </w:r>
      <w:r>
        <w:rPr>
          <w:rFonts w:ascii="Times New Roman" w:eastAsia="方正黑体_GBK" w:hAnsi="Times New Roman"/>
          <w:sz w:val="32"/>
          <w:szCs w:val="32"/>
        </w:rPr>
        <w:t>、</w:t>
      </w:r>
      <w:r>
        <w:rPr>
          <w:rFonts w:ascii="Times New Roman" w:eastAsia="方正黑体_GBK" w:hAnsi="Times New Roman" w:hint="eastAsia"/>
          <w:sz w:val="32"/>
          <w:szCs w:val="32"/>
        </w:rPr>
        <w:t>通辽</w:t>
      </w:r>
      <w:r>
        <w:rPr>
          <w:rFonts w:ascii="Times New Roman" w:eastAsia="方正黑体_GBK" w:hAnsi="Times New Roman"/>
          <w:sz w:val="32"/>
          <w:szCs w:val="32"/>
        </w:rPr>
        <w:t>海关单位构成情况</w:t>
      </w:r>
    </w:p>
    <w:p>
      <w:pPr>
        <w:ind w:left="0" w:firstLine="640"/>
        <w:jc w:val="left"/>
        <w:rPr>
          <w:rFonts w:ascii="Times New Roman" w:eastAsia="方正仿宋_GBK" w:hAnsi="Times New Roman"/>
          <w:sz w:val="32"/>
          <w:szCs w:val="32"/>
        </w:rPr>
      </w:pPr>
      <w:r>
        <w:rPr>
          <w:rFonts w:ascii="Times New Roman" w:eastAsia="方正仿宋_GBK" w:hAnsi="Times New Roman" w:hint="eastAsia"/>
          <w:sz w:val="32"/>
          <w:szCs w:val="32"/>
        </w:rPr>
        <w:t>通辽海关内设</w:t>
      </w:r>
      <w:r>
        <w:rPr>
          <w:rFonts w:ascii="Times New Roman" w:eastAsia="方正仿宋_GBK" w:hAnsi="Times New Roman"/>
          <w:sz w:val="32"/>
          <w:szCs w:val="32"/>
        </w:rPr>
        <w:t>4 个</w:t>
      </w:r>
      <w:r>
        <w:rPr>
          <w:rFonts w:ascii="Times New Roman" w:eastAsia="方正仿宋_GBK" w:hAnsi="Times New Roman" w:hint="eastAsia"/>
          <w:sz w:val="32"/>
          <w:szCs w:val="32"/>
        </w:rPr>
        <w:t>科室</w:t>
      </w:r>
      <w:r>
        <w:rPr>
          <w:rFonts w:ascii="Times New Roman" w:eastAsia="方正仿宋_GBK" w:hAnsi="Times New Roman"/>
          <w:sz w:val="32"/>
          <w:szCs w:val="32"/>
        </w:rPr>
        <w:t>，包括：办公</w:t>
      </w:r>
      <w:r>
        <w:rPr>
          <w:rFonts w:ascii="Times New Roman" w:eastAsia="方正仿宋_GBK" w:hAnsi="Times New Roman" w:hint="eastAsia"/>
          <w:sz w:val="32"/>
          <w:szCs w:val="32"/>
        </w:rPr>
        <w:t>室</w:t>
      </w:r>
      <w:r>
        <w:rPr>
          <w:rFonts w:ascii="Times New Roman" w:eastAsia="方正仿宋_GBK" w:hAnsi="Times New Roman"/>
          <w:sz w:val="32"/>
          <w:szCs w:val="32"/>
        </w:rPr>
        <w:t>、</w:t>
      </w:r>
      <w:r>
        <w:rPr>
          <w:rFonts w:ascii="Times New Roman" w:eastAsia="方正仿宋_GBK" w:hAnsi="Times New Roman" w:hint="eastAsia"/>
          <w:sz w:val="32"/>
          <w:szCs w:val="32"/>
        </w:rPr>
        <w:t>综合业务科</w:t>
      </w:r>
      <w:r>
        <w:rPr>
          <w:rFonts w:ascii="Times New Roman" w:eastAsia="方正仿宋_GBK" w:hAnsi="Times New Roman"/>
          <w:sz w:val="32"/>
          <w:szCs w:val="32"/>
        </w:rPr>
        <w:t>、</w:t>
      </w:r>
      <w:r>
        <w:rPr>
          <w:rFonts w:ascii="Times New Roman" w:eastAsia="方正仿宋_GBK" w:hAnsi="Times New Roman" w:hint="eastAsia"/>
          <w:sz w:val="32"/>
          <w:szCs w:val="32"/>
        </w:rPr>
        <w:t>稽核查科</w:t>
      </w:r>
      <w:r>
        <w:rPr>
          <w:rFonts w:ascii="Times New Roman" w:eastAsia="方正仿宋_GBK" w:hAnsi="Times New Roman"/>
          <w:sz w:val="32"/>
          <w:szCs w:val="32"/>
        </w:rPr>
        <w:t>、</w:t>
      </w:r>
      <w:r>
        <w:rPr>
          <w:rFonts w:ascii="Times New Roman" w:eastAsia="方正仿宋_GBK" w:hAnsi="Times New Roman" w:hint="eastAsia"/>
          <w:sz w:val="32"/>
          <w:szCs w:val="32"/>
        </w:rPr>
        <w:t>查检科</w:t>
      </w:r>
      <w:r>
        <w:rPr>
          <w:rFonts w:ascii="Times New Roman" w:eastAsia="方正仿宋_GBK" w:hAnsi="Times New Roman"/>
          <w:sz w:val="32"/>
          <w:szCs w:val="32"/>
        </w:rPr>
        <w:t>。</w:t>
      </w:r>
      <w:r>
        <w:rPr>
          <w:rFonts w:ascii="Times New Roman" w:eastAsia="方正仿宋_GBK" w:hAnsi="Times New Roman" w:hint="eastAsia"/>
          <w:sz w:val="32"/>
          <w:szCs w:val="32"/>
        </w:rPr>
        <w:t>满洲里海关党委</w:t>
      </w:r>
      <w:r>
        <w:rPr>
          <w:rFonts w:ascii="Times New Roman" w:eastAsia="方正仿宋_GBK" w:hAnsi="Times New Roman"/>
          <w:sz w:val="32"/>
          <w:szCs w:val="32"/>
        </w:rPr>
        <w:t>在</w:t>
      </w:r>
      <w:r>
        <w:rPr>
          <w:rFonts w:ascii="Times New Roman" w:eastAsia="方正仿宋_GBK" w:hAnsi="Times New Roman" w:hint="eastAsia"/>
          <w:sz w:val="32"/>
          <w:szCs w:val="32"/>
        </w:rPr>
        <w:t>通辽海关</w:t>
      </w:r>
      <w:r>
        <w:rPr>
          <w:rFonts w:ascii="Times New Roman" w:eastAsia="方正仿宋_GBK" w:hAnsi="Times New Roman"/>
          <w:sz w:val="32"/>
          <w:szCs w:val="32"/>
        </w:rPr>
        <w:t>派驻纪检监察组。</w:t>
      </w:r>
    </w:p>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ind w:left="0" w:firstLine="0"/>
        <w:jc w:val="center"/>
        <w:rPr>
          <w:rFonts w:ascii="Times New Roman" w:hAnsi="Times New Roman"/>
          <w:b/>
          <w:sz w:val="72"/>
          <w:szCs w:val="72"/>
        </w:rPr>
      </w:pPr>
      <w:r>
        <w:rPr>
          <w:rFonts w:ascii="Times New Roman" w:hAnsi="Times New Roman" w:hint="eastAsia"/>
          <w:b/>
          <w:sz w:val="72"/>
          <w:szCs w:val="72"/>
        </w:rPr>
        <w:t>第二部分</w:t>
      </w:r>
      <w:r>
        <w:rPr>
          <w:rFonts w:ascii="Times New Roman" w:hAnsi="Times New Roman"/>
          <w:b/>
          <w:sz w:val="72"/>
          <w:szCs w:val="72"/>
        </w:rPr>
        <w:t xml:space="preserve">  </w:t>
      </w:r>
    </w:p>
    <w:p>
      <w:pPr>
        <w:ind w:left="0" w:firstLine="0"/>
        <w:jc w:val="center"/>
        <w:rPr>
          <w:rFonts w:ascii="Times New Roman" w:hAnsi="Times New Roman"/>
          <w:b/>
          <w:sz w:val="72"/>
          <w:szCs w:val="72"/>
        </w:rPr>
      </w:pPr>
      <w:r>
        <w:rPr>
          <w:rFonts w:ascii="Times New Roman" w:hAnsi="Times New Roman" w:hint="eastAsia"/>
          <w:b/>
          <w:sz w:val="72"/>
          <w:szCs w:val="72"/>
        </w:rPr>
        <w:t>通辽海关</w:t>
      </w:r>
      <w:r>
        <w:rPr>
          <w:rFonts w:ascii="Times New Roman" w:hAnsi="Times New Roman"/>
          <w:b/>
          <w:sz w:val="72"/>
          <w:szCs w:val="72"/>
        </w:rPr>
        <w:t>202</w:t>
      </w:r>
      <w:r>
        <w:rPr>
          <w:rFonts w:ascii="Times New Roman" w:hAnsi="Times New Roman" w:hint="eastAsia"/>
          <w:b/>
          <w:sz w:val="72"/>
          <w:szCs w:val="72"/>
          <w:lang w:val="en-US" w:eastAsia="zh-CN"/>
        </w:rPr>
        <w:t>4</w:t>
      </w:r>
      <w:r>
        <w:rPr>
          <w:rFonts w:ascii="Times New Roman" w:hAnsi="Times New Roman" w:hint="eastAsia"/>
          <w:b/>
          <w:sz w:val="72"/>
          <w:szCs w:val="72"/>
        </w:rPr>
        <w:t>年</w:t>
      </w:r>
    </w:p>
    <w:p>
      <w:pPr>
        <w:ind w:left="0" w:firstLine="0"/>
        <w:jc w:val="center"/>
        <w:rPr>
          <w:rFonts w:ascii="Times New Roman" w:hAnsi="Times New Roman"/>
          <w:szCs w:val="21"/>
        </w:rPr>
      </w:pPr>
      <w:r>
        <w:rPr>
          <w:rFonts w:ascii="Times New Roman" w:hAnsi="Times New Roman" w:hint="eastAsia"/>
          <w:b/>
          <w:sz w:val="72"/>
          <w:szCs w:val="72"/>
        </w:rPr>
        <w:t>部门</w:t>
      </w:r>
      <w:r>
        <w:rPr>
          <w:rFonts w:ascii="Times New Roman" w:hAnsi="Times New Roman"/>
          <w:b/>
          <w:sz w:val="72"/>
          <w:szCs w:val="72"/>
        </w:rPr>
        <w:t>决算</w:t>
      </w:r>
      <w:r>
        <w:rPr>
          <w:rFonts w:ascii="Times New Roman" w:hAnsi="Times New Roman" w:hint="eastAsia"/>
          <w:b/>
          <w:sz w:val="72"/>
          <w:szCs w:val="72"/>
        </w:rPr>
        <w:t>表</w:t>
      </w:r>
    </w:p>
    <w:p>
      <w:pPr>
        <w:ind w:left="0" w:firstLine="640"/>
        <w:jc w:val="center"/>
        <w:rPr>
          <w:rFonts w:ascii="Times New Roman" w:eastAsia="方正仿宋_GBK" w:hAnsi="Times New Roman"/>
          <w:sz w:val="84"/>
          <w:szCs w:val="84"/>
        </w:rPr>
      </w:pPr>
    </w:p>
    <w:p>
      <w:pPr>
        <w:ind w:left="0" w:firstLine="640"/>
        <w:jc w:val="center"/>
        <w:rPr>
          <w:rFonts w:ascii="Times New Roman" w:eastAsia="方正仿宋_GBK" w:hAnsi="Times New Roman"/>
          <w:sz w:val="84"/>
          <w:szCs w:val="84"/>
        </w:rPr>
      </w:pPr>
    </w:p>
    <w:p>
      <w:pPr>
        <w:widowControl/>
        <w:ind w:left="0" w:firstLine="640"/>
        <w:jc w:val="left"/>
        <w:rPr>
          <w:rFonts w:ascii="Times New Roman" w:eastAsia="方正仿宋_GBK" w:hAnsi="Times New Roman"/>
          <w:sz w:val="84"/>
          <w:szCs w:val="84"/>
        </w:rPr>
        <w:sectPr>
          <w:footerReference w:type="default" r:id="rId3"/>
          <w:pgSz w:w="11906" w:h="16838"/>
          <w:pgMar w:top="1440" w:right="1266" w:bottom="1440" w:left="118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686"/>
        <w:gridCol w:w="3260"/>
        <w:gridCol w:w="3827"/>
        <w:gridCol w:w="3119"/>
      </w:tblGrid>
      <w:tr>
        <w:trPr>
          <w:trHeight w:val="319"/>
        </w:trPr>
        <w:tc>
          <w:tcPr>
            <w:tcW w:w="10773" w:type="dxa"/>
            <w:gridSpan w:val="3"/>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p>
        </w:tc>
        <w:tc>
          <w:tcPr>
            <w:tcW w:w="3119" w:type="dxa"/>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部门公开表1</w:t>
            </w:r>
          </w:p>
        </w:tc>
      </w:tr>
      <w:tr>
        <w:trPr>
          <w:trHeight w:val="540"/>
        </w:trPr>
        <w:tc>
          <w:tcPr>
            <w:tcW w:w="13892" w:type="dxa"/>
            <w:gridSpan w:val="4"/>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部门收支总表</w:t>
            </w:r>
          </w:p>
        </w:tc>
      </w:tr>
      <w:tr>
        <w:trPr>
          <w:trHeight w:val="360"/>
        </w:trPr>
        <w:tc>
          <w:tcPr>
            <w:tcW w:w="368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26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827"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119" w:type="dxa"/>
            <w:tcBorders>
              <w:top w:val="nil"/>
              <w:left w:val="nil"/>
              <w:bottom w:val="nil"/>
              <w:right w:val="nil"/>
            </w:tcBorders>
            <w:shd w:val="clear" w:color="auto" w:fill="auto"/>
            <w:noWrap/>
            <w:vAlign w:val="center"/>
          </w:tcPr>
          <w:p>
            <w:pPr>
              <w:widowControl/>
              <w:ind w:left="0" w:firstLine="640"/>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支      出</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260"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c>
          <w:tcPr>
            <w:tcW w:w="3827"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    目</w:t>
            </w:r>
          </w:p>
        </w:tc>
        <w:tc>
          <w:tcPr>
            <w:tcW w:w="3119"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预算数</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一、一般公共预算拨款收入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727.62</w:t>
            </w: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一、一般公共服务支出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611.23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二、政府性基金预算拨款收入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二、外交支出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三、国有资本经营预算拨款收入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三、公共安全支出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四、事业收入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四、教育支出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五、事业单位经营收入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五、社会保障和就业支出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66.05</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六、其他收入</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74.12</w:t>
            </w: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六、卫生健康支出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23.76</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七、住房保障支出</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70.18</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本年收入合计</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801.74</w:t>
            </w: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本年支出合计</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771.22</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使用非财政拨款结余</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结    余    分    配</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上年结转</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111.01</w:t>
            </w: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eastAsia="zh-CN"/>
              </w:rPr>
              <w:t>年</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末</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结</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转</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和</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结</w:t>
            </w:r>
            <w:r>
              <w:rPr>
                <w:rFonts w:ascii="Times New Roman" w:cs="Times New Roman" w:hAnsi="Times New Roman" w:hint="eastAsia"/>
                <w:color w:val="000000"/>
                <w:kern w:val="0"/>
                <w:sz w:val="20"/>
                <w:szCs w:val="20"/>
                <w:lang w:val="en-US" w:eastAsia="zh-CN"/>
              </w:rPr>
              <w:t xml:space="preserve"> </w:t>
            </w:r>
            <w:r>
              <w:rPr>
                <w:rFonts w:ascii="Times New Roman" w:cs="Times New Roman" w:hAnsi="Times New Roman" w:hint="eastAsia"/>
                <w:color w:val="000000"/>
                <w:kern w:val="0"/>
                <w:sz w:val="20"/>
                <w:szCs w:val="20"/>
                <w:lang w:eastAsia="zh-CN"/>
              </w:rPr>
              <w:t>余</w:t>
            </w:r>
            <w:r>
              <w:rPr>
                <w:rFonts w:ascii="Times New Roman" w:cs="Times New Roman" w:hAnsi="Times New Roman"/>
                <w:color w:val="000000"/>
                <w:kern w:val="0"/>
                <w:sz w:val="20"/>
                <w:szCs w:val="20"/>
              </w:rPr>
              <w:t>　</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141.53</w:t>
            </w:r>
          </w:p>
        </w:tc>
      </w:tr>
      <w:tr>
        <w:trPr>
          <w:trHeight w:val="360"/>
        </w:trPr>
        <w:tc>
          <w:tcPr>
            <w:tcW w:w="368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收    入    总    计</w:t>
            </w:r>
          </w:p>
        </w:tc>
        <w:tc>
          <w:tcPr>
            <w:tcW w:w="326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912.75</w:t>
            </w:r>
          </w:p>
        </w:tc>
        <w:tc>
          <w:tcPr>
            <w:tcW w:w="3827"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支</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出</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总</w:t>
            </w:r>
            <w:r>
              <w:rPr>
                <w:rFonts w:ascii="Times New Roman" w:cs="Times New Roman" w:hAnsi="Times New Roman"/>
                <w:color w:val="000000"/>
                <w:kern w:val="0"/>
                <w:sz w:val="20"/>
                <w:szCs w:val="20"/>
              </w:rPr>
              <w:t xml:space="preserve">    </w:t>
            </w:r>
            <w:r>
              <w:rPr>
                <w:rFonts w:ascii="Times New Roman" w:cs="Times New Roman" w:hAnsi="Times New Roman" w:hint="eastAsia"/>
                <w:color w:val="000000"/>
                <w:kern w:val="0"/>
                <w:sz w:val="20"/>
                <w:szCs w:val="20"/>
              </w:rPr>
              <w:t>计</w:t>
            </w:r>
          </w:p>
        </w:tc>
        <w:tc>
          <w:tcPr>
            <w:tcW w:w="311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912.75</w:t>
            </w:r>
          </w:p>
        </w:tc>
      </w:tr>
    </w:tbl>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p>
    <w:tbl>
      <w:tblPr>
        <w:jc w:val="cent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904"/>
        <w:gridCol w:w="904"/>
        <w:gridCol w:w="1116"/>
        <w:gridCol w:w="1120"/>
        <w:gridCol w:w="1139"/>
        <w:gridCol w:w="1134"/>
        <w:gridCol w:w="1087"/>
        <w:gridCol w:w="1118"/>
        <w:gridCol w:w="1290"/>
      </w:tblGrid>
      <w:tr>
        <w:trPr>
          <w:trHeight w:val="270"/>
        </w:trPr>
        <w:tc>
          <w:tcPr>
            <w:tcW w:w="1216" w:type="dxa"/>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p>
        </w:tc>
        <w:tc>
          <w:tcPr>
            <w:tcW w:w="136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3608" w:type="dxa"/>
            <w:gridSpan w:val="12"/>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270"/>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其中：教育收费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widowControl/>
              <w:ind w:left="0" w:firstLine="0"/>
              <w:jc w:val="right"/>
              <w:rPr>
                <w:rFonts w:ascii="Times New Roman" w:eastAsia="宋体" w:cs="宋体" w:hAnsi="Times New Roman"/>
                <w:kern w:val="0"/>
                <w:sz w:val="20"/>
                <w:szCs w:val="20"/>
                <w:lang w:val="en-US" w:eastAsia="zh-CN"/>
              </w:rPr>
            </w:pPr>
            <w:r>
              <w:rPr>
                <w:rFonts w:ascii="Times New Roman" w:cs="宋体" w:hAnsi="Times New Roman" w:hint="eastAsia"/>
                <w:kern w:val="0"/>
                <w:sz w:val="20"/>
                <w:szCs w:val="20"/>
                <w:lang w:val="en-US" w:eastAsia="zh-CN"/>
              </w:rPr>
              <w:t>801.74</w:t>
            </w:r>
          </w:p>
        </w:tc>
        <w:tc>
          <w:tcPr>
            <w:tcW w:w="1360" w:type="dxa"/>
            <w:tcBorders>
              <w:top w:val="single" w:sz="4" w:space="0" w:color="auto"/>
              <w:left w:val="nil"/>
              <w:bottom w:val="single" w:sz="4" w:space="0" w:color="auto"/>
              <w:right w:val="single" w:sz="4" w:space="0" w:color="auto"/>
            </w:tcBorders>
            <w:shd w:val="clear" w:color="auto" w:fill="auto"/>
            <w:vAlign w:val="center"/>
          </w:tcPr>
          <w:p>
            <w:pPr>
              <w:widowControl/>
              <w:ind w:left="0" w:firstLine="0"/>
              <w:jc w:val="right"/>
              <w:rPr>
                <w:rFonts w:ascii="Times New Roman" w:eastAsia="宋体" w:cs="宋体" w:hAnsi="Times New Roman"/>
                <w:kern w:val="0"/>
                <w:sz w:val="20"/>
                <w:szCs w:val="20"/>
                <w:lang w:val="en-US" w:eastAsia="zh-CN"/>
              </w:rPr>
            </w:pPr>
            <w:r>
              <w:rPr>
                <w:rFonts w:ascii="Times New Roman" w:cs="宋体" w:hAnsi="Times New Roman" w:hint="eastAsia"/>
                <w:kern w:val="0"/>
                <w:sz w:val="20"/>
                <w:szCs w:val="20"/>
              </w:rPr>
              <w:t>1</w:t>
            </w:r>
            <w:r>
              <w:rPr>
                <w:rFonts w:ascii="Times New Roman" w:cs="宋体" w:hAnsi="Times New Roman" w:hint="eastAsia"/>
                <w:kern w:val="0"/>
                <w:sz w:val="20"/>
                <w:szCs w:val="20"/>
                <w:lang w:val="en-US" w:eastAsia="zh-CN"/>
              </w:rPr>
              <w:t>11.01</w:t>
            </w:r>
          </w:p>
        </w:tc>
        <w:tc>
          <w:tcPr>
            <w:tcW w:w="1220" w:type="dxa"/>
            <w:tcBorders>
              <w:top w:val="nil"/>
              <w:left w:val="nil"/>
              <w:bottom w:val="single" w:sz="4" w:space="0" w:color="auto"/>
              <w:right w:val="single" w:sz="4" w:space="0" w:color="auto"/>
            </w:tcBorders>
            <w:shd w:val="clear" w:color="auto" w:fill="auto"/>
            <w:vAlign w:val="center"/>
          </w:tcPr>
          <w:p>
            <w:pPr>
              <w:widowControl/>
              <w:ind w:left="0" w:firstLine="0"/>
              <w:jc w:val="right"/>
              <w:rPr>
                <w:rFonts w:ascii="Times New Roman" w:eastAsia="宋体" w:cs="宋体" w:hAnsi="Times New Roman"/>
                <w:kern w:val="0"/>
                <w:sz w:val="20"/>
                <w:szCs w:val="20"/>
                <w:lang w:val="en-US" w:eastAsia="zh-CN"/>
              </w:rPr>
            </w:pPr>
            <w:r>
              <w:rPr>
                <w:rFonts w:ascii="Times New Roman" w:cs="宋体" w:hAnsi="Times New Roman" w:hint="eastAsia"/>
                <w:kern w:val="0"/>
                <w:sz w:val="20"/>
                <w:szCs w:val="20"/>
                <w:lang w:val="en-US" w:eastAsia="zh-CN"/>
              </w:rPr>
              <w:t>727.62</w:t>
            </w:r>
          </w:p>
        </w:tc>
        <w:tc>
          <w:tcPr>
            <w:tcW w:w="880"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eastAsia="宋体" w:cs="宋体" w:hAnsi="Times New Roman"/>
                <w:kern w:val="0"/>
                <w:sz w:val="20"/>
                <w:szCs w:val="20"/>
                <w:lang w:val="en-US" w:eastAsia="zh-CN"/>
              </w:rPr>
            </w:pPr>
            <w:r>
              <w:rPr>
                <w:rFonts w:ascii="Times New Roman" w:cs="宋体" w:hAnsi="Times New Roman" w:hint="eastAsia"/>
                <w:kern w:val="0"/>
                <w:sz w:val="20"/>
                <w:szCs w:val="20"/>
                <w:lang w:val="en-US" w:eastAsia="zh-CN"/>
              </w:rPr>
              <w:t>74.12</w:t>
            </w:r>
          </w:p>
        </w:tc>
        <w:tc>
          <w:tcPr>
            <w:tcW w:w="1290" w:type="dxa"/>
            <w:tcBorders>
              <w:top w:val="nil"/>
              <w:left w:val="nil"/>
              <w:bottom w:val="single" w:sz="4" w:space="0" w:color="auto"/>
              <w:right w:val="single" w:sz="4" w:space="0" w:color="auto"/>
            </w:tcBorders>
            <w:shd w:val="clear" w:color="auto" w:fill="auto"/>
            <w:vAlign w:val="center"/>
          </w:tcPr>
          <w:p>
            <w:pPr>
              <w:widowControl/>
              <w:ind w:left="0" w:firstLine="640"/>
              <w:jc w:val="right"/>
              <w:rPr>
                <w:rFonts w:ascii="Times New Roman" w:cs="宋体" w:hAnsi="Times New Roman"/>
                <w:kern w:val="0"/>
                <w:sz w:val="20"/>
                <w:szCs w:val="20"/>
              </w:rPr>
            </w:pPr>
          </w:p>
        </w:tc>
      </w:tr>
    </w:tbl>
    <w:p>
      <w:pPr>
        <w:ind w:left="0" w:firstLine="640"/>
        <w:jc w:val="left"/>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p>
      <w:pPr>
        <w:ind w:left="0" w:firstLine="640"/>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134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556"/>
        <w:gridCol w:w="2126"/>
        <w:gridCol w:w="1434"/>
        <w:gridCol w:w="1434"/>
        <w:gridCol w:w="1329"/>
        <w:gridCol w:w="1056"/>
        <w:gridCol w:w="1134"/>
        <w:gridCol w:w="1275"/>
      </w:tblGrid>
      <w:tr>
        <w:trPr>
          <w:trHeight w:val="319"/>
        </w:trPr>
        <w:tc>
          <w:tcPr>
            <w:tcW w:w="11344" w:type="dxa"/>
            <w:gridSpan w:val="8"/>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 xml:space="preserve"> 部门公开表3 </w:t>
            </w:r>
          </w:p>
        </w:tc>
      </w:tr>
      <w:tr>
        <w:trPr>
          <w:trHeight w:val="540"/>
        </w:trPr>
        <w:tc>
          <w:tcPr>
            <w:tcW w:w="11344" w:type="dxa"/>
            <w:gridSpan w:val="8"/>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 xml:space="preserve"> 部门支出总表 </w:t>
            </w:r>
          </w:p>
        </w:tc>
      </w:tr>
      <w:tr>
        <w:trPr>
          <w:trHeight w:val="360"/>
        </w:trPr>
        <w:tc>
          <w:tcPr>
            <w:tcW w:w="1556" w:type="dxa"/>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color w:val="000000"/>
                <w:kern w:val="0"/>
                <w:sz w:val="36"/>
                <w:szCs w:val="36"/>
              </w:rPr>
            </w:pPr>
          </w:p>
        </w:tc>
        <w:tc>
          <w:tcPr>
            <w:tcW w:w="212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4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4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1329"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3465" w:type="dxa"/>
            <w:gridSpan w:val="3"/>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p>
            <w:pPr>
              <w:widowControl/>
              <w:ind w:left="0" w:firstLine="640"/>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 xml:space="preserve"> 单位：万元 </w:t>
            </w:r>
          </w:p>
        </w:tc>
      </w:tr>
      <w:tr>
        <w:trPr>
          <w:trHeight w:val="540"/>
        </w:trPr>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科目代码</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1434"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合计</w:t>
            </w:r>
          </w:p>
        </w:tc>
        <w:tc>
          <w:tcPr>
            <w:tcW w:w="1434"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1329"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c>
          <w:tcPr>
            <w:tcW w:w="105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上缴上级支出</w:t>
            </w:r>
          </w:p>
        </w:tc>
        <w:tc>
          <w:tcPr>
            <w:tcW w:w="1134"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事业单位经营支出</w:t>
            </w:r>
          </w:p>
        </w:tc>
        <w:tc>
          <w:tcPr>
            <w:tcW w:w="1275" w:type="dxa"/>
            <w:tcBorders>
              <w:top w:val="single" w:sz="4" w:space="0" w:color="auto"/>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对附属单位补助支出</w:t>
            </w: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b/>
                <w:bCs/>
                <w:color w:val="000000"/>
                <w:kern w:val="0"/>
                <w:sz w:val="20"/>
                <w:szCs w:val="20"/>
              </w:rPr>
            </w:pP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通辽海关</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771.22</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713.82</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57.40</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both"/>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一般公共服务支出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611.23</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553.83</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57.40</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both"/>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20109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海关事务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611.23</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553.83</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color w:val="000000"/>
                <w:kern w:val="0"/>
                <w:sz w:val="20"/>
                <w:szCs w:val="20"/>
                <w:lang w:val="en-US" w:eastAsia="zh-CN"/>
              </w:rPr>
            </w:pPr>
            <w:r>
              <w:rPr>
                <w:rFonts w:ascii="Times New Roman" w:cs="Times New Roman" w:hAnsi="Times New Roman" w:hint="eastAsia"/>
                <w:b/>
                <w:bCs/>
                <w:color w:val="000000"/>
                <w:kern w:val="0"/>
                <w:sz w:val="20"/>
                <w:szCs w:val="20"/>
                <w:lang w:val="en-US" w:eastAsia="zh-CN"/>
              </w:rPr>
              <w:t>57.40</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eastAsia="宋体" w:hAnsi="Times New Roman"/>
                <w:lang w:val="en-US" w:eastAsia="zh-CN"/>
              </w:rPr>
            </w:pPr>
            <w:r>
              <w:rPr>
                <w:rFonts w:ascii="Times New Roman" w:hAnsi="Times New Roman" w:hint="eastAsia"/>
                <w:lang w:val="en-US" w:eastAsia="zh-CN"/>
              </w:rPr>
              <w:t>553.83</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eastAsia="宋体" w:hAnsi="Times New Roman"/>
                <w:lang w:val="en-US" w:eastAsia="zh-CN"/>
              </w:rPr>
            </w:pPr>
            <w:r>
              <w:rPr>
                <w:rFonts w:ascii="Times New Roman" w:hAnsi="Times New Roman" w:hint="eastAsia"/>
                <w:lang w:val="en-US" w:eastAsia="zh-CN"/>
              </w:rPr>
              <w:t>553.83</w:t>
            </w: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2010903</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机关服务</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缉私办案</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2010907</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口岸管理</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2010908</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2010909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海关关务</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eastAsia="宋体" w:hAnsi="Times New Roman"/>
                <w:lang w:val="en-US" w:eastAsia="zh-CN"/>
              </w:rPr>
            </w:pPr>
            <w:r>
              <w:rPr>
                <w:rFonts w:ascii="Times New Roman" w:hAnsi="Times New Roman" w:hint="eastAsia"/>
                <w:lang w:val="en-US" w:eastAsia="zh-CN"/>
              </w:rPr>
              <w:t>55.40</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eastAsia="宋体" w:hAnsi="Times New Roman"/>
                <w:lang w:val="en-US" w:eastAsia="zh-CN"/>
              </w:rPr>
            </w:pPr>
            <w:r>
              <w:rPr>
                <w:rFonts w:ascii="Times New Roman" w:hAnsi="Times New Roman" w:hint="eastAsia"/>
                <w:lang w:val="en-US" w:eastAsia="zh-CN"/>
              </w:rPr>
              <w:t>55.40</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2010910</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关税征管</w:t>
            </w: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434"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329" w:type="dxa"/>
            <w:tcBorders>
              <w:top w:val="nil"/>
              <w:left w:val="nil"/>
              <w:bottom w:val="single" w:sz="4" w:space="0" w:color="auto"/>
              <w:right w:val="single" w:sz="4" w:space="0" w:color="auto"/>
            </w:tcBorders>
            <w:shd w:val="clear" w:color="auto" w:fill="auto"/>
            <w:noWrap/>
          </w:tcPr>
          <w:p>
            <w:pPr>
              <w:ind w:left="0" w:firstLine="640"/>
              <w:jc w:val="right"/>
              <w:rPr>
                <w:rFonts w:ascii="Times New Roman" w:hAnsi="Times New Roma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海关监管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2010912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检验检疫</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2.00</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rPr>
              <w:t>2.00</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2010950</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事业运行</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2010999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其他海关事务支出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20111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纪检监察事务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科目代码</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科目名称</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合计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基本支出</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项目支出</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上缴上级支出</w:t>
            </w: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事业单位经营支出</w:t>
            </w: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对附属单位补助支出</w:t>
            </w: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2011105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派驻派出机构</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外交支出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20203</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对外援助</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2020306</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对外援助</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20204</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国际组织</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国际组织会费</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2020402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国际组织捐赠</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对外合作与交流</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2020599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其他对外合作与交流支出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20299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其他外交支出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2029999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其他外交支出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公共安全支出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20410</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bCs/>
                <w:color w:val="000000"/>
                <w:kern w:val="0"/>
                <w:sz w:val="20"/>
                <w:szCs w:val="20"/>
              </w:rPr>
            </w:pPr>
            <w:r>
              <w:rPr>
                <w:rFonts w:ascii="Times New Roman" w:cs="宋体" w:hAnsi="Times New Roman" w:hint="eastAsia"/>
                <w:b/>
                <w:bCs/>
                <w:color w:val="000000"/>
                <w:kern w:val="0"/>
                <w:sz w:val="20"/>
                <w:szCs w:val="20"/>
              </w:rPr>
              <w:t>缉私警察</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bCs/>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行政运行</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一般行政管理事务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2041006</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信息化建设</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2041007</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缉私业务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2041099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其他缉私警察支出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205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教育支出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科目代码</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科目名称</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合计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基本支出</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项目支出</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上缴上级支出</w:t>
            </w: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事业单位经营支出</w:t>
            </w: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对附属单位补助支出</w:t>
            </w: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20502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普通教育</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2050205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高等教育</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208</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社会保障和就业支出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66.05</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66.05</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20805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行政事业单位养老支出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66.05</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66.05</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2080501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行政单位离退休</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color w:val="000000"/>
                <w:kern w:val="0"/>
                <w:sz w:val="20"/>
                <w:szCs w:val="20"/>
              </w:rPr>
              <w:t>0.50</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color w:val="000000"/>
                <w:kern w:val="0"/>
                <w:sz w:val="20"/>
                <w:szCs w:val="20"/>
              </w:rPr>
              <w:t>0.50</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事业单位离退休</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2080503</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离退休人员管理机构</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2080505</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机关事业单位基本养老保险缴费支出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43.70</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43.70</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2080506</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机关事业单位职业年金缴费支出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21.85</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21.85</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20899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其他社会保障和就业支出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2089901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其他社会保障和就业支出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2089999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其他社会保障和就业支出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210</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卫生健康支出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23.76</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23.76</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21011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行政事业单位医疗</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23.76</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23.76</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2101101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行政单位医疗</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color w:val="000000"/>
                <w:kern w:val="0"/>
                <w:sz w:val="20"/>
                <w:szCs w:val="20"/>
                <w:lang w:val="en-US" w:eastAsia="zh-CN"/>
              </w:rPr>
              <w:t>20.62</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color w:val="000000"/>
                <w:kern w:val="0"/>
                <w:sz w:val="20"/>
                <w:szCs w:val="20"/>
                <w:lang w:val="en-US" w:eastAsia="zh-CN"/>
              </w:rPr>
              <w:t>20.62</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事业单位医疗</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hint="eastAsia"/>
                <w:color w:val="000000"/>
                <w:kern w:val="0"/>
                <w:sz w:val="20"/>
                <w:szCs w:val="20"/>
                <w:lang w:eastAsia="zh-CN"/>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科目代码</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科目名称</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合计</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hint="eastAsia"/>
                <w:color w:val="000000"/>
                <w:kern w:val="0"/>
                <w:sz w:val="20"/>
                <w:szCs w:val="20"/>
                <w:lang w:val="en-US" w:eastAsia="zh-CN" w:bidi="ar-SA"/>
              </w:rPr>
            </w:pPr>
            <w:r>
              <w:rPr>
                <w:rFonts w:ascii="Times New Roman" w:cs="宋体" w:hAnsi="Times New Roman" w:hint="eastAsia"/>
                <w:color w:val="000000"/>
                <w:kern w:val="0"/>
                <w:sz w:val="20"/>
                <w:szCs w:val="20"/>
              </w:rPr>
              <w:t>基本支出</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项目支出</w:t>
            </w: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上缴上级支出</w:t>
            </w: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事业单位经营支出</w:t>
            </w: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0"/>
              <w:jc w:val="center"/>
              <w:rPr>
                <w:rFonts w:ascii="Times New Roman" w:eastAsia="宋体" w:cs="宋体" w:hAnsi="Times New Roman"/>
                <w:color w:val="000000"/>
                <w:kern w:val="0"/>
                <w:sz w:val="20"/>
                <w:szCs w:val="20"/>
                <w:lang w:val="en-US" w:eastAsia="zh-CN" w:bidi="ar-SA"/>
              </w:rPr>
            </w:pPr>
            <w:r>
              <w:rPr>
                <w:rFonts w:ascii="Times New Roman" w:cs="宋体" w:hAnsi="Times New Roman" w:hint="eastAsia"/>
                <w:color w:val="000000"/>
                <w:kern w:val="0"/>
                <w:sz w:val="20"/>
                <w:szCs w:val="20"/>
              </w:rPr>
              <w:t>对附属单位补助支出</w:t>
            </w: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2101103</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公务员医疗补助</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2.55</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2.55</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2101199</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其他行政事业单位医疗支出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0.59</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color w:val="000000"/>
                <w:kern w:val="0"/>
                <w:sz w:val="20"/>
                <w:szCs w:val="20"/>
                <w:lang w:val="en-US" w:eastAsia="zh-CN"/>
              </w:rPr>
              <w:t>0.59</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221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住房保障支出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70.18</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70.18</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22102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b/>
                <w:color w:val="000000"/>
                <w:kern w:val="0"/>
                <w:sz w:val="20"/>
                <w:szCs w:val="20"/>
              </w:rPr>
              <w:t>住房改革支出</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r>
              <w:rPr>
                <w:rFonts w:ascii="Times New Roman" w:cs="Times New Roman" w:hAnsi="Times New Roman" w:hint="eastAsia"/>
                <w:b/>
                <w:color w:val="000000"/>
                <w:kern w:val="0"/>
                <w:sz w:val="20"/>
                <w:szCs w:val="20"/>
                <w:lang w:val="en-US" w:eastAsia="zh-CN"/>
              </w:rPr>
              <w:t>70.18</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r>
              <w:rPr>
                <w:rFonts w:ascii="Times New Roman" w:cs="Times New Roman" w:hAnsi="Times New Roman" w:hint="eastAsia"/>
                <w:b/>
                <w:color w:val="000000"/>
                <w:kern w:val="0"/>
                <w:sz w:val="20"/>
                <w:szCs w:val="20"/>
                <w:lang w:val="en-US" w:eastAsia="zh-CN"/>
              </w:rPr>
              <w:t>70.18</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2210201</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b/>
                <w:color w:val="000000"/>
                <w:kern w:val="0"/>
                <w:sz w:val="20"/>
                <w:szCs w:val="20"/>
              </w:rPr>
            </w:pPr>
            <w:r>
              <w:rPr>
                <w:rFonts w:ascii="Times New Roman" w:cs="宋体" w:hAnsi="Times New Roman" w:hint="eastAsia"/>
                <w:color w:val="000000"/>
                <w:kern w:val="0"/>
                <w:sz w:val="20"/>
                <w:szCs w:val="20"/>
              </w:rPr>
              <w:t>住房公积金</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r>
              <w:rPr>
                <w:rFonts w:ascii="Times New Roman" w:cs="Times New Roman" w:hAnsi="Times New Roman" w:hint="eastAsia"/>
                <w:color w:val="000000"/>
                <w:kern w:val="0"/>
                <w:sz w:val="20"/>
                <w:szCs w:val="20"/>
                <w:lang w:val="en-US" w:eastAsia="zh-CN"/>
              </w:rPr>
              <w:t>45.91</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r>
              <w:rPr>
                <w:rFonts w:ascii="Times New Roman" w:cs="Times New Roman" w:hAnsi="Times New Roman" w:hint="eastAsia"/>
                <w:color w:val="000000"/>
                <w:kern w:val="0"/>
                <w:sz w:val="20"/>
                <w:szCs w:val="20"/>
                <w:lang w:val="en-US" w:eastAsia="zh-CN"/>
              </w:rPr>
              <w:t>45.91</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2210202</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提租补贴</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0"/>
                <w:szCs w:val="20"/>
                <w:lang w:val="en-US" w:eastAsia="zh-CN"/>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2210203</w:t>
            </w:r>
          </w:p>
        </w:tc>
        <w:tc>
          <w:tcPr>
            <w:tcW w:w="2126" w:type="dxa"/>
            <w:tcBorders>
              <w:top w:val="nil"/>
              <w:left w:val="nil"/>
              <w:bottom w:val="single" w:sz="4" w:space="0" w:color="auto"/>
              <w:right w:val="single" w:sz="4" w:space="0" w:color="auto"/>
            </w:tcBorders>
            <w:shd w:val="clear" w:color="auto" w:fill="auto"/>
            <w:vAlign w:val="center"/>
          </w:tcPr>
          <w:p>
            <w:pPr>
              <w:widowControl/>
              <w:ind w:left="0" w:firstLine="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购房补贴</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24.27</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color w:val="000000"/>
                <w:kern w:val="0"/>
                <w:sz w:val="20"/>
                <w:szCs w:val="20"/>
                <w:lang w:val="en-US" w:eastAsia="zh-CN"/>
              </w:rPr>
              <w:t>24.27</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1556"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b/>
                <w:color w:val="000000"/>
                <w:kern w:val="0"/>
                <w:sz w:val="20"/>
                <w:szCs w:val="20"/>
              </w:rPr>
              <w:t>合      计</w:t>
            </w:r>
          </w:p>
        </w:tc>
        <w:tc>
          <w:tcPr>
            <w:tcW w:w="2126"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0"/>
                <w:szCs w:val="20"/>
              </w:rPr>
            </w:pPr>
            <w:r>
              <w:rPr>
                <w:rFonts w:ascii="Times New Roman" w:cs="Times New Roman" w:hAnsi="Times New Roman" w:hint="eastAsia"/>
                <w:b/>
                <w:color w:val="000000"/>
                <w:kern w:val="0"/>
                <w:sz w:val="20"/>
                <w:szCs w:val="20"/>
                <w:lang w:val="en-US" w:eastAsia="zh-CN"/>
              </w:rPr>
              <w:t>771.22</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713.82</w:t>
            </w: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0"/>
                <w:szCs w:val="20"/>
              </w:rPr>
            </w:pPr>
            <w:r>
              <w:rPr>
                <w:rFonts w:ascii="Times New Roman" w:cs="Times New Roman" w:hAnsi="Times New Roman" w:hint="eastAsia"/>
                <w:b/>
                <w:color w:val="000000"/>
                <w:kern w:val="0"/>
                <w:sz w:val="20"/>
                <w:szCs w:val="20"/>
                <w:lang w:val="en-US" w:eastAsia="zh-CN"/>
              </w:rPr>
              <w:t>57.40</w:t>
            </w: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color w:val="000000"/>
                <w:kern w:val="0"/>
                <w:sz w:val="20"/>
                <w:szCs w:val="20"/>
              </w:rPr>
            </w:pPr>
          </w:p>
        </w:tc>
      </w:tr>
      <w:tr>
        <w:trPr>
          <w:trHeight w:val="360"/>
        </w:trPr>
        <w:tc>
          <w:tcPr>
            <w:tcW w:w="368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b/>
                <w:color w:val="000000"/>
                <w:kern w:val="0"/>
                <w:sz w:val="20"/>
                <w:szCs w:val="20"/>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p>
        </w:tc>
        <w:tc>
          <w:tcPr>
            <w:tcW w:w="14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p>
        </w:tc>
        <w:tc>
          <w:tcPr>
            <w:tcW w:w="132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color w:val="000000"/>
                <w:kern w:val="0"/>
                <w:sz w:val="20"/>
                <w:szCs w:val="20"/>
                <w:lang w:val="en-US" w:eastAsia="zh-CN"/>
              </w:rPr>
            </w:pPr>
          </w:p>
        </w:tc>
        <w:tc>
          <w:tcPr>
            <w:tcW w:w="1056"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c>
          <w:tcPr>
            <w:tcW w:w="1275"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b/>
                <w:color w:val="000000"/>
                <w:kern w:val="0"/>
                <w:sz w:val="20"/>
                <w:szCs w:val="20"/>
              </w:rPr>
            </w:pPr>
          </w:p>
        </w:tc>
      </w:tr>
    </w:tbl>
    <w:p>
      <w:pPr>
        <w:ind w:left="0" w:firstLine="640"/>
        <w:jc w:val="left"/>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253"/>
        <w:gridCol w:w="2693"/>
        <w:gridCol w:w="4253"/>
        <w:gridCol w:w="2693"/>
      </w:tblGrid>
      <w:tr>
        <w:trPr>
          <w:trHeight w:val="319"/>
        </w:trPr>
        <w:tc>
          <w:tcPr>
            <w:tcW w:w="11199" w:type="dxa"/>
            <w:gridSpan w:val="3"/>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p>
        </w:tc>
        <w:tc>
          <w:tcPr>
            <w:tcW w:w="2693" w:type="dxa"/>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部门公开表4</w:t>
            </w:r>
          </w:p>
        </w:tc>
      </w:tr>
      <w:tr>
        <w:trPr>
          <w:trHeight w:val="540"/>
        </w:trPr>
        <w:tc>
          <w:tcPr>
            <w:tcW w:w="13892" w:type="dxa"/>
            <w:gridSpan w:val="4"/>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color w:val="000000"/>
                <w:kern w:val="0"/>
                <w:sz w:val="36"/>
                <w:szCs w:val="36"/>
              </w:rPr>
            </w:pPr>
            <w:r>
              <w:rPr>
                <w:rFonts w:ascii="Times New Roman" w:cs="宋体" w:hAnsi="Times New Roman" w:hint="eastAsia"/>
                <w:color w:val="000000"/>
                <w:kern w:val="0"/>
                <w:sz w:val="36"/>
                <w:szCs w:val="36"/>
              </w:rPr>
              <w:t>财政拨款收支总表</w:t>
            </w:r>
          </w:p>
        </w:tc>
      </w:tr>
      <w:tr>
        <w:trPr>
          <w:trHeight w:val="360"/>
        </w:trPr>
        <w:tc>
          <w:tcPr>
            <w:tcW w:w="4253"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2693"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4253"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693" w:type="dxa"/>
            <w:tcBorders>
              <w:top w:val="nil"/>
              <w:left w:val="nil"/>
              <w:bottom w:val="nil"/>
              <w:right w:val="nil"/>
            </w:tcBorders>
            <w:shd w:val="clear" w:color="auto" w:fill="auto"/>
            <w:noWrap/>
            <w:vAlign w:val="center"/>
          </w:tcPr>
          <w:p>
            <w:pPr>
              <w:widowControl/>
              <w:ind w:left="0" w:firstLine="640"/>
              <w:jc w:val="right"/>
              <w:rPr>
                <w:rFonts w:ascii="Times New Roman" w:cs="宋体" w:hAnsi="Times New Roman"/>
                <w:color w:val="000000"/>
                <w:kern w:val="0"/>
                <w:sz w:val="18"/>
                <w:szCs w:val="18"/>
              </w:rPr>
            </w:pPr>
            <w:r>
              <w:rPr>
                <w:rFonts w:ascii="Times New Roman" w:cs="宋体" w:hAnsi="Times New Roman" w:hint="eastAsia"/>
                <w:color w:val="000000"/>
                <w:kern w:val="0"/>
                <w:sz w:val="18"/>
                <w:szCs w:val="18"/>
              </w:rPr>
              <w:t>单位：万元</w:t>
            </w:r>
          </w:p>
        </w:tc>
      </w:tr>
      <w:tr>
        <w:trPr>
          <w:trHeight w:val="360"/>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w:t>
            </w:r>
          </w:p>
        </w:tc>
        <w:tc>
          <w:tcPr>
            <w:tcW w:w="6946" w:type="dxa"/>
            <w:gridSpan w:val="2"/>
            <w:tcBorders>
              <w:top w:val="single" w:sz="4" w:space="0" w:color="auto"/>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c>
          <w:tcPr>
            <w:tcW w:w="4253"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项目</w:t>
            </w:r>
          </w:p>
        </w:tc>
        <w:tc>
          <w:tcPr>
            <w:tcW w:w="2693"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预算数</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一、本年收入</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727.62</w:t>
            </w: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一、本年支出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569.70</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727.62</w:t>
            </w: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（一）一般公共服务支出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569.70</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（二）外交支出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（三）公共安全支出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（四）教育支出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二、上年结转</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51.96</w:t>
            </w: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（五）社会保障和就业支出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66.05</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（一）一般公共预算拨款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51.96</w:t>
            </w: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（六）卫生健康支出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23.76</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（二）政府性基金预算拨款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（七）住房保障支出</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66.54</w:t>
            </w: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4"/>
                <w:szCs w:val="24"/>
              </w:rPr>
            </w:pPr>
            <w:r>
              <w:rPr>
                <w:rFonts w:ascii="Times New Roman" w:cs="宋体" w:hAnsi="Times New Roman" w:hint="eastAsia"/>
                <w:color w:val="000000"/>
                <w:kern w:val="0"/>
                <w:sz w:val="24"/>
                <w:szCs w:val="24"/>
              </w:rPr>
              <w:t>（三）国有资本经营预算拨款</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4"/>
                <w:szCs w:val="24"/>
              </w:rPr>
            </w:pP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color w:val="000000"/>
                <w:kern w:val="0"/>
                <w:sz w:val="24"/>
                <w:szCs w:val="24"/>
              </w:rPr>
            </w:pPr>
          </w:p>
        </w:tc>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4"/>
                <w:szCs w:val="24"/>
              </w:rPr>
            </w:pP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color w:val="000000"/>
                <w:kern w:val="0"/>
                <w:sz w:val="24"/>
                <w:szCs w:val="24"/>
              </w:rPr>
            </w:pPr>
          </w:p>
        </w:tc>
      </w:tr>
      <w:tr>
        <w:trPr>
          <w:trHeight w:val="360"/>
        </w:trPr>
        <w:tc>
          <w:tcPr>
            <w:tcW w:w="4253"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收    入    总    计</w:t>
            </w:r>
          </w:p>
        </w:tc>
        <w:tc>
          <w:tcPr>
            <w:tcW w:w="2693"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779.58</w:t>
            </w:r>
          </w:p>
        </w:tc>
        <w:tc>
          <w:tcPr>
            <w:tcW w:w="4253" w:type="dxa"/>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4"/>
                <w:szCs w:val="24"/>
              </w:rPr>
            </w:pPr>
            <w:r>
              <w:rPr>
                <w:rFonts w:ascii="Times New Roman" w:cs="宋体" w:hAnsi="Times New Roman" w:hint="eastAsia"/>
                <w:color w:val="000000"/>
                <w:kern w:val="0"/>
                <w:sz w:val="24"/>
                <w:szCs w:val="24"/>
              </w:rPr>
              <w:t>支    出    总    计</w:t>
            </w:r>
          </w:p>
        </w:tc>
        <w:tc>
          <w:tcPr>
            <w:tcW w:w="2693" w:type="dxa"/>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color w:val="000000"/>
                <w:kern w:val="0"/>
                <w:sz w:val="24"/>
                <w:szCs w:val="24"/>
                <w:lang w:val="en-US" w:eastAsia="zh-CN"/>
              </w:rPr>
            </w:pPr>
            <w:r>
              <w:rPr>
                <w:rFonts w:ascii="Times New Roman" w:cs="Times New Roman" w:hAnsi="Times New Roman" w:hint="eastAsia"/>
                <w:color w:val="000000"/>
                <w:kern w:val="0"/>
                <w:sz w:val="24"/>
                <w:szCs w:val="24"/>
                <w:lang w:val="en-US" w:eastAsia="zh-CN"/>
              </w:rPr>
              <w:t>726.04</w:t>
            </w:r>
          </w:p>
        </w:tc>
      </w:tr>
    </w:tbl>
    <w:p>
      <w:pPr>
        <w:ind w:left="0" w:firstLine="640"/>
        <w:jc w:val="left"/>
        <w:rPr>
          <w:rFonts w:ascii="Times New Roman" w:eastAsia="方正仿宋_GBK" w:hAnsi="Times New Roman"/>
          <w:sz w:val="32"/>
          <w:szCs w:val="32"/>
        </w:rPr>
      </w:pPr>
    </w:p>
    <w:p>
      <w:pPr>
        <w:ind w:left="0" w:firstLine="640"/>
        <w:jc w:val="left"/>
        <w:rPr>
          <w:rFonts w:ascii="Times New Roman" w:eastAsia="方正仿宋_GBK" w:hAnsi="Times New Roman"/>
          <w:sz w:val="32"/>
          <w:szCs w:val="32"/>
        </w:rPr>
      </w:pPr>
      <w:r>
        <w:rPr>
          <w:rFonts w:ascii="Times New Roman" w:eastAsia="方正仿宋_GBK" w:hAnsi="Times New Roman"/>
          <w:sz w:val="32"/>
          <w:szCs w:val="32"/>
        </w:rPr>
        <w:br w:type="page"/>
      </w:r>
    </w:p>
    <w:tbl>
      <w:tblPr>
        <w:jc w:val="left"/>
        <w:tblInd w:w="93" w:type="dxa"/>
        <w:tblW w:w="14460" w:type="dxa"/>
        <w:tblBorders>
          <w:top w:val="none" w:sz="0" w:space="0" w:color="auto"/>
          <w:left w:val="none" w:sz="0" w:space="0" w:color="auto"/>
          <w:bottom w:val="none" w:sz="0" w:space="0" w:color="auto"/>
          <w:right w:val="none" w:sz="0" w:space="0" w:color="auto"/>
        </w:tblBorders>
        <w:shd w:val="clear" w:color="auto" w:fill="auto"/>
        <w:tblCellMar>
          <w:top w:w="0" w:type="dxa"/>
          <w:left w:w="108" w:type="dxa"/>
          <w:bottom w:w="0" w:type="dxa"/>
          <w:right w:w="108" w:type="dxa"/>
        </w:tblCellMar>
      </w:tblPr>
      <w:tblGrid>
        <w:gridCol w:w="412"/>
        <w:gridCol w:w="412"/>
        <w:gridCol w:w="412"/>
        <w:gridCol w:w="6940"/>
        <w:gridCol w:w="1627"/>
        <w:gridCol w:w="2036"/>
        <w:gridCol w:w="2634"/>
      </w:tblGrid>
      <w:tr>
        <w:trPr>
          <w:trHeight w:val="540"/>
        </w:trPr>
        <w:tc>
          <w:tcPr>
            <w:tcW w:w="14471" w:type="dxa"/>
            <w:gridSpan w:val="7"/>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44"/>
                <w:szCs w:val="44"/>
                <w:u w:val="none"/>
              </w:rPr>
            </w:pPr>
            <w:r>
              <w:rPr>
                <w:rFonts w:ascii="宋体" w:eastAsia="宋体" w:cs="宋体" w:hint="eastAsia"/>
                <w:i w:val="0"/>
                <w:iCs w:val="0"/>
                <w:color w:val="000000"/>
                <w:kern w:val="0"/>
                <w:sz w:val="44"/>
                <w:szCs w:val="44"/>
                <w:u w:val="none"/>
                <w:lang w:val="en-US" w:eastAsia="zh-CN"/>
              </w:rPr>
              <w:t>一般公共预算财政拨款支出决算表</w:t>
            </w:r>
          </w:p>
        </w:tc>
      </w:tr>
      <w:tr>
        <w:trPr>
          <w:trHeight w:val="285"/>
        </w:trPr>
        <w:tc>
          <w:tcPr>
            <w:tcW w:w="41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1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412"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6940"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1627"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036" w:type="dxa"/>
            <w:tcBorders>
              <w:top w:val="nil"/>
              <w:left w:val="nil"/>
              <w:bottom w:val="nil"/>
              <w:right w:val="nil"/>
            </w:tcBorders>
            <w:shd w:val="clear" w:color="auto" w:fill="auto"/>
            <w:noWrap/>
            <w:vAlign w:val="center"/>
          </w:tcPr>
          <w:p>
            <w:pPr>
              <w:rPr>
                <w:rFonts w:ascii="宋体" w:eastAsia="宋体" w:cs="宋体" w:hint="eastAsia"/>
                <w:i w:val="0"/>
                <w:iCs w:val="0"/>
                <w:color w:val="000000"/>
                <w:sz w:val="22"/>
                <w:szCs w:val="22"/>
                <w:u w:val="none"/>
              </w:rPr>
            </w:pPr>
          </w:p>
        </w:tc>
        <w:tc>
          <w:tcPr>
            <w:tcW w:w="263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公开05表</w:t>
            </w:r>
          </w:p>
        </w:tc>
      </w:tr>
      <w:tr>
        <w:trPr>
          <w:trHeight w:val="285"/>
        </w:trPr>
        <w:tc>
          <w:tcPr>
            <w:tcW w:w="9803" w:type="dxa"/>
            <w:gridSpan w:val="5"/>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部门：中华人民共和国通辽海关</w:t>
            </w:r>
          </w:p>
        </w:tc>
        <w:tc>
          <w:tcPr>
            <w:tcW w:w="2036" w:type="dxa"/>
            <w:tcBorders>
              <w:top w:val="nil"/>
              <w:left w:val="nil"/>
              <w:bottom w:val="nil"/>
              <w:right w:val="nil"/>
            </w:tcBorders>
            <w:shd w:val="clear" w:color="auto" w:fill="auto"/>
            <w:noWrap/>
            <w:vAlign w:val="center"/>
          </w:tcPr>
          <w:p>
            <w:pPr>
              <w:jc w:val="center"/>
              <w:rPr>
                <w:rFonts w:ascii="宋体" w:eastAsia="宋体" w:cs="宋体" w:hint="eastAsia"/>
                <w:i w:val="0"/>
                <w:iCs w:val="0"/>
                <w:color w:val="000000"/>
                <w:sz w:val="24"/>
                <w:szCs w:val="24"/>
                <w:u w:val="none"/>
              </w:rPr>
            </w:pPr>
          </w:p>
        </w:tc>
        <w:tc>
          <w:tcPr>
            <w:tcW w:w="2634" w:type="dxa"/>
            <w:tcBorders>
              <w:top w:val="nil"/>
              <w:left w:val="nil"/>
              <w:bottom w:val="nil"/>
              <w:right w:val="nil"/>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4"/>
                <w:szCs w:val="24"/>
                <w:u w:val="none"/>
              </w:rPr>
            </w:pPr>
            <w:r>
              <w:rPr>
                <w:rFonts w:ascii="宋体" w:eastAsia="宋体" w:cs="宋体" w:hint="eastAsia"/>
                <w:i w:val="0"/>
                <w:iCs w:val="0"/>
                <w:color w:val="000000"/>
                <w:kern w:val="0"/>
                <w:sz w:val="24"/>
                <w:szCs w:val="24"/>
                <w:u w:val="none"/>
                <w:lang w:val="en-US" w:eastAsia="zh-CN"/>
              </w:rPr>
              <w:t>单位：万元</w:t>
            </w:r>
          </w:p>
        </w:tc>
      </w:tr>
      <w:tr>
        <w:trPr>
          <w:trHeight w:val="270"/>
        </w:trPr>
        <w:tc>
          <w:tcPr>
            <w:tcW w:w="8176"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w:t>
            </w:r>
          </w:p>
        </w:tc>
        <w:tc>
          <w:tcPr>
            <w:tcW w:w="6297" w:type="dxa"/>
            <w:gridSpan w:val="3"/>
            <w:tcBorders>
              <w:top w:val="single" w:sz="4" w:space="0" w:color="000000"/>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本年支出</w:t>
            </w:r>
          </w:p>
        </w:tc>
      </w:tr>
      <w:tr>
        <w:trPr>
          <w:trHeight w:val="270"/>
        </w:trPr>
        <w:tc>
          <w:tcPr>
            <w:tcW w:w="1236" w:type="dxa"/>
            <w:gridSpan w:val="3"/>
            <w:vMerge w:val="restart"/>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科目代码</w:t>
            </w:r>
          </w:p>
        </w:tc>
        <w:tc>
          <w:tcPr>
            <w:tcW w:w="6940"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科目名称</w:t>
            </w:r>
          </w:p>
        </w:tc>
        <w:tc>
          <w:tcPr>
            <w:tcW w:w="1627"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小计</w:t>
            </w:r>
          </w:p>
        </w:tc>
        <w:tc>
          <w:tcPr>
            <w:tcW w:w="2036"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基本支出</w:t>
            </w:r>
          </w:p>
        </w:tc>
        <w:tc>
          <w:tcPr>
            <w:tcW w:w="2634" w:type="dxa"/>
            <w:vMerge w:val="restart"/>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项目支出</w:t>
            </w:r>
          </w:p>
        </w:tc>
      </w:tr>
      <w:tr>
        <w:trPr>
          <w:trHeight w:val="270"/>
        </w:trPr>
        <w:tc>
          <w:tcPr>
            <w:tcW w:w="1236" w:type="dxa"/>
            <w:gridSpan w:val="3"/>
            <w:vMerge/>
            <w:tcBorders>
              <w:top w:val="nil"/>
              <w:left w:val="single" w:sz="4" w:space="0" w:color="000000"/>
              <w:bottom w:val="single" w:sz="4" w:space="0" w:color="000000"/>
              <w:right w:val="single" w:sz="4" w:space="0" w:color="000000"/>
            </w:tcBorders>
            <w:shd w:val="clear" w:color="auto" w:fill="auto"/>
            <w:noWrap/>
            <w:vAlign w:val="center"/>
          </w:tcPr>
          <w:p/>
        </w:tc>
        <w:tc>
          <w:tcPr>
            <w:tcW w:w="6940" w:type="dxa"/>
            <w:vMerge/>
            <w:tcBorders>
              <w:top w:val="nil"/>
              <w:left w:val="nil"/>
              <w:bottom w:val="single" w:sz="4" w:space="0" w:color="000000"/>
              <w:right w:val="single" w:sz="4" w:space="0" w:color="000000"/>
            </w:tcBorders>
            <w:shd w:val="clear" w:color="auto" w:fill="auto"/>
            <w:noWrap/>
            <w:vAlign w:val="center"/>
          </w:tcPr>
          <w:p/>
        </w:tc>
        <w:tc>
          <w:tcPr>
            <w:tcW w:w="1627" w:type="dxa"/>
            <w:vMerge/>
            <w:tcBorders>
              <w:top w:val="nil"/>
              <w:left w:val="nil"/>
              <w:bottom w:val="single" w:sz="4" w:space="0" w:color="000000"/>
              <w:right w:val="single" w:sz="4" w:space="0" w:color="000000"/>
            </w:tcBorders>
            <w:shd w:val="clear" w:color="auto" w:fill="auto"/>
            <w:noWrap/>
            <w:vAlign w:val="center"/>
          </w:tcPr>
          <w:p/>
        </w:tc>
        <w:tc>
          <w:tcPr>
            <w:tcW w:w="2036" w:type="dxa"/>
            <w:vMerge/>
            <w:tcBorders>
              <w:top w:val="nil"/>
              <w:left w:val="nil"/>
              <w:bottom w:val="single" w:sz="4" w:space="0" w:color="000000"/>
              <w:right w:val="single" w:sz="4" w:space="0" w:color="000000"/>
            </w:tcBorders>
            <w:shd w:val="clear" w:color="auto" w:fill="auto"/>
            <w:noWrap/>
            <w:vAlign w:val="center"/>
          </w:tcPr>
          <w:p/>
        </w:tc>
        <w:tc>
          <w:tcPr>
            <w:tcW w:w="2634" w:type="dxa"/>
            <w:vMerge/>
            <w:tcBorders>
              <w:top w:val="nil"/>
              <w:left w:val="nil"/>
              <w:bottom w:val="single" w:sz="4" w:space="0" w:color="000000"/>
              <w:right w:val="single" w:sz="4" w:space="0" w:color="000000"/>
            </w:tcBorders>
            <w:shd w:val="clear" w:color="auto" w:fill="auto"/>
            <w:noWrap/>
            <w:vAlign w:val="center"/>
          </w:tcPr>
          <w:p/>
        </w:tc>
      </w:tr>
      <w:tr>
        <w:trPr>
          <w:trHeight w:val="270"/>
        </w:trPr>
        <w:tc>
          <w:tcPr>
            <w:tcW w:w="8176"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栏次</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1</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w:t>
            </w: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3</w:t>
            </w:r>
          </w:p>
        </w:tc>
      </w:tr>
      <w:tr>
        <w:trPr>
          <w:trHeight w:val="270"/>
        </w:trPr>
        <w:tc>
          <w:tcPr>
            <w:tcW w:w="8176" w:type="dxa"/>
            <w:gridSpan w:val="4"/>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center"/>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合计</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726.04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668.64 </w:t>
            </w: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57.40 </w:t>
            </w: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一般公共服务支出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569.70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512.30 </w:t>
            </w: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57.40 </w:t>
            </w: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海关事务</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569.70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512.30 </w:t>
            </w: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57.40 </w:t>
            </w: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行政运行</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512.30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512.30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2010909</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海关关务</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55.40 </w:t>
            </w:r>
          </w:p>
        </w:tc>
        <w:tc>
          <w:tcPr>
            <w:tcW w:w="203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55.40 </w:t>
            </w: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2010912</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检验检疫</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2.00 </w:t>
            </w:r>
          </w:p>
        </w:tc>
        <w:tc>
          <w:tcPr>
            <w:tcW w:w="2036"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c>
          <w:tcPr>
            <w:tcW w:w="2634"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2.00 </w:t>
            </w: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社会保障和就业支出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66.05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66.05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行政事业单位养老支出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66.05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66.05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行政单位离退休</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0.50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0.50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2080505</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机关事业单位基本养老保险缴费支出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43.70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43.70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2080506</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机关事业单位职业年金缴费支出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21.85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21.85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卫生健康支出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23.76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23.76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行政事业单位医疗</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23.76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23.76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行政单位医疗</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20.62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20.62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2101103</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公务员医疗补助</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2.55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2.55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2101199</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其他行政事业单位医疗支出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0.59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0.59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住房保障支出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66.54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66.54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住房改革支出</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66.54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66.54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2210201</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住房公积金</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45.91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45.91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236" w:type="dxa"/>
            <w:gridSpan w:val="3"/>
            <w:tcBorders>
              <w:top w:val="nil"/>
              <w:left w:val="single" w:sz="4" w:space="0" w:color="000000"/>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2210203</w:t>
            </w:r>
          </w:p>
        </w:tc>
        <w:tc>
          <w:tcPr>
            <w:tcW w:w="6940"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购房补贴</w:t>
            </w:r>
          </w:p>
        </w:tc>
        <w:tc>
          <w:tcPr>
            <w:tcW w:w="1627"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20.63 </w:t>
            </w:r>
          </w:p>
        </w:tc>
        <w:tc>
          <w:tcPr>
            <w:tcW w:w="2036" w:type="dxa"/>
            <w:tcBorders>
              <w:top w:val="nil"/>
              <w:left w:val="nil"/>
              <w:bottom w:val="single" w:sz="4" w:space="0" w:color="000000"/>
              <w:right w:val="single" w:sz="4" w:space="0" w:color="000000"/>
            </w:tcBorders>
            <w:shd w:val="clear" w:color="auto" w:fill="auto"/>
            <w:noWrap/>
            <w:vAlign w:val="center"/>
          </w:tcPr>
          <w:p>
            <w:pPr>
              <w:keepNext w:val="0"/>
              <w:keepLines w:val="0"/>
              <w:widowControl/>
              <w:suppressLineNumbers w:val="0"/>
              <w:jc w:val="righ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 xml:space="preserve">20.63 </w:t>
            </w:r>
          </w:p>
        </w:tc>
        <w:tc>
          <w:tcPr>
            <w:tcW w:w="2634" w:type="dxa"/>
            <w:tcBorders>
              <w:top w:val="nil"/>
              <w:left w:val="nil"/>
              <w:bottom w:val="single" w:sz="4" w:space="0" w:color="000000"/>
              <w:right w:val="single" w:sz="4" w:space="0" w:color="000000"/>
            </w:tcBorders>
            <w:shd w:val="clear" w:color="auto" w:fill="auto"/>
            <w:noWrap/>
            <w:vAlign w:val="center"/>
          </w:tcPr>
          <w:p>
            <w:pPr>
              <w:jc w:val="right"/>
              <w:rPr>
                <w:rFonts w:ascii="宋体" w:eastAsia="宋体" w:cs="宋体" w:hint="eastAsia"/>
                <w:i w:val="0"/>
                <w:iCs w:val="0"/>
                <w:color w:val="000000"/>
                <w:sz w:val="22"/>
                <w:szCs w:val="22"/>
                <w:u w:val="none"/>
              </w:rPr>
            </w:pPr>
          </w:p>
        </w:tc>
      </w:tr>
      <w:tr>
        <w:trPr>
          <w:trHeight w:val="270"/>
        </w:trPr>
        <w:tc>
          <w:tcPr>
            <w:tcW w:w="14473" w:type="dxa"/>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ascii="宋体" w:eastAsia="宋体" w:cs="宋体" w:hint="eastAsia"/>
                <w:i w:val="0"/>
                <w:iCs w:val="0"/>
                <w:color w:val="000000"/>
                <w:sz w:val="22"/>
                <w:szCs w:val="22"/>
                <w:u w:val="none"/>
              </w:rPr>
            </w:pPr>
            <w:r>
              <w:rPr>
                <w:rFonts w:ascii="宋体" w:eastAsia="宋体" w:cs="宋体" w:hint="eastAsia"/>
                <w:i w:val="0"/>
                <w:iCs w:val="0"/>
                <w:color w:val="000000"/>
                <w:kern w:val="0"/>
                <w:sz w:val="22"/>
                <w:szCs w:val="22"/>
                <w:u w:val="none"/>
                <w:lang w:val="en-US" w:eastAsia="zh-CN"/>
              </w:rPr>
              <w:t>注：本表反映部门本年度一般公共预算财政拨款支出情况。</w:t>
            </w:r>
          </w:p>
        </w:tc>
      </w:tr>
    </w:tbl>
    <w:p/>
    <w:tbl>
      <w:tblPr>
        <w:jc w:val="center"/>
        <w:tblW w:w="1581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990"/>
        <w:gridCol w:w="4752"/>
        <w:gridCol w:w="3239"/>
        <w:gridCol w:w="3024"/>
        <w:gridCol w:w="2807"/>
      </w:tblGrid>
      <w:tr>
        <w:trPr>
          <w:trHeight w:val="270"/>
        </w:trPr>
        <w:tc>
          <w:tcPr>
            <w:tcW w:w="1990" w:type="dxa"/>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bookmarkStart w:id="1" w:name="RANGE!A1:E71"/>
            <w:bookmarkEnd w:id="1"/>
          </w:p>
        </w:tc>
        <w:tc>
          <w:tcPr>
            <w:tcW w:w="4752"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3239"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3024" w:type="dxa"/>
            <w:tcBorders>
              <w:top w:val="nil"/>
              <w:left w:val="nil"/>
              <w:bottom w:val="nil"/>
              <w:right w:val="nil"/>
            </w:tcBorders>
            <w:shd w:val="clear" w:color="auto" w:fill="auto"/>
            <w:noWrap/>
            <w:vAlign w:val="center"/>
          </w:tcPr>
          <w:p>
            <w:pPr>
              <w:widowControl/>
              <w:ind w:left="0" w:firstLine="640"/>
              <w:jc w:val="center"/>
              <w:rPr>
                <w:rFonts w:ascii="Times New Roman" w:eastAsia="Times New Roman" w:cs="Times New Roman" w:hAnsi="Times New Roman"/>
                <w:kern w:val="0"/>
                <w:sz w:val="20"/>
                <w:szCs w:val="20"/>
              </w:rPr>
            </w:pPr>
          </w:p>
        </w:tc>
        <w:tc>
          <w:tcPr>
            <w:tcW w:w="2807" w:type="dxa"/>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color w:val="000000"/>
                <w:kern w:val="0"/>
                <w:sz w:val="20"/>
                <w:szCs w:val="20"/>
              </w:rPr>
            </w:pPr>
            <w:r>
              <w:rPr>
                <w:rFonts w:ascii="Times New Roman" w:eastAsia="黑体" w:cs="宋体" w:hAnsi="Times New Roman" w:hint="eastAsia"/>
                <w:color w:val="000000"/>
                <w:kern w:val="0"/>
                <w:sz w:val="20"/>
                <w:szCs w:val="20"/>
              </w:rPr>
              <w:t>部门公开表6</w:t>
            </w:r>
          </w:p>
        </w:tc>
      </w:tr>
      <w:tr>
        <w:trPr>
          <w:trHeight w:val="578"/>
        </w:trPr>
        <w:tc>
          <w:tcPr>
            <w:tcW w:w="15812" w:type="dxa"/>
            <w:gridSpan w:val="5"/>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kern w:val="0"/>
                <w:sz w:val="36"/>
                <w:szCs w:val="36"/>
              </w:rPr>
            </w:pPr>
            <w:r>
              <w:rPr>
                <w:rFonts w:ascii="Times New Roman" w:cs="宋体" w:hAnsi="Times New Roman" w:hint="eastAsia"/>
                <w:kern w:val="0"/>
                <w:sz w:val="36"/>
                <w:szCs w:val="36"/>
              </w:rPr>
              <w:t>一般公共预算基本支出表</w:t>
            </w:r>
          </w:p>
        </w:tc>
      </w:tr>
      <w:tr>
        <w:trPr>
          <w:trHeight w:val="360"/>
        </w:trPr>
        <w:tc>
          <w:tcPr>
            <w:tcW w:w="1990" w:type="dxa"/>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kern w:val="0"/>
                <w:szCs w:val="36"/>
              </w:rPr>
            </w:pPr>
          </w:p>
        </w:tc>
        <w:tc>
          <w:tcPr>
            <w:tcW w:w="4752"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3239" w:type="dxa"/>
            <w:tcBorders>
              <w:top w:val="nil"/>
              <w:left w:val="nil"/>
              <w:bottom w:val="single" w:sz="4" w:space="0" w:color="auto"/>
              <w:right w:val="nil"/>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3024" w:type="dxa"/>
            <w:tcBorders>
              <w:top w:val="nil"/>
              <w:left w:val="nil"/>
              <w:bottom w:val="single" w:sz="4" w:space="0" w:color="auto"/>
              <w:right w:val="nil"/>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kern w:val="0"/>
                <w:sz w:val="18"/>
                <w:szCs w:val="18"/>
              </w:rPr>
              <w:t>　</w:t>
            </w:r>
          </w:p>
        </w:tc>
        <w:tc>
          <w:tcPr>
            <w:tcW w:w="2807" w:type="dxa"/>
            <w:tcBorders>
              <w:top w:val="nil"/>
              <w:left w:val="nil"/>
              <w:bottom w:val="nil"/>
              <w:right w:val="nil"/>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rPr>
              <w:t>单位：万元</w:t>
            </w:r>
          </w:p>
        </w:tc>
      </w:tr>
      <w:tr>
        <w:trPr>
          <w:trHeight w:val="360"/>
        </w:trPr>
        <w:tc>
          <w:tcPr>
            <w:tcW w:w="67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9070" w:type="dxa"/>
            <w:gridSpan w:val="3"/>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hint="eastAsia"/>
                <w:kern w:val="0"/>
                <w:sz w:val="18"/>
                <w:szCs w:val="18"/>
              </w:rPr>
              <w:t>本年一般公共预算基本支出</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hint="eastAsia"/>
                <w:kern w:val="0"/>
                <w:sz w:val="18"/>
                <w:szCs w:val="18"/>
              </w:rPr>
              <w:t>合计</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hint="eastAsia"/>
                <w:kern w:val="0"/>
                <w:sz w:val="18"/>
                <w:szCs w:val="18"/>
              </w:rPr>
              <w:t>人员经费</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r>
              <w:rPr>
                <w:rFonts w:ascii="Times New Roman" w:cs="Times New Roman" w:hAnsi="Times New Roman" w:hint="eastAsia"/>
                <w:kern w:val="0"/>
                <w:sz w:val="18"/>
                <w:szCs w:val="18"/>
              </w:rPr>
              <w:t>公用经费</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b/>
                <w:bCs/>
                <w:kern w:val="0"/>
                <w:sz w:val="18"/>
                <w:szCs w:val="18"/>
              </w:rPr>
            </w:pP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b/>
                <w:bCs/>
                <w:kern w:val="0"/>
                <w:sz w:val="18"/>
                <w:szCs w:val="18"/>
              </w:rPr>
            </w:pPr>
            <w:r>
              <w:rPr>
                <w:rFonts w:ascii="Times New Roman" w:cs="宋体" w:hAnsi="Times New Roman" w:hint="eastAsia"/>
                <w:b/>
                <w:bCs/>
                <w:kern w:val="0"/>
                <w:sz w:val="18"/>
                <w:szCs w:val="18"/>
              </w:rPr>
              <w:t>通辽海关</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lang w:val="en-US"/>
              </w:rPr>
            </w:pPr>
            <w:r>
              <w:rPr>
                <w:rFonts w:ascii="Times New Roman" w:cs="Times New Roman" w:hAnsi="Times New Roman" w:hint="eastAsia"/>
                <w:b/>
                <w:bCs/>
                <w:kern w:val="0"/>
                <w:sz w:val="18"/>
                <w:szCs w:val="18"/>
                <w:lang w:val="en-US" w:eastAsia="zh-CN"/>
              </w:rPr>
              <w:t>668.65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479.94</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188.71</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301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工资福利支出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r>
              <w:rPr>
                <w:rFonts w:ascii="Times New Roman" w:cs="Times New Roman" w:hAnsi="Times New Roman" w:hint="eastAsia"/>
                <w:b/>
                <w:bCs/>
                <w:kern w:val="0"/>
                <w:sz w:val="18"/>
                <w:szCs w:val="18"/>
                <w:lang w:val="en-US" w:eastAsia="zh-CN"/>
              </w:rPr>
              <w:t>476.53</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476.53</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基本工资</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111.53</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111.53</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津贴补贴</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135.15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135.15</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奖金</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94.63</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94.63</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30106</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伙食补助费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绩效工资</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30108</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机关事业单位基本养老保险缴费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43.70</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43.70</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30109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职业年金缴费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21.85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21.85</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30110</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职工基本医疗保险缴费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20.62</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20.62</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30111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公务员医疗补助缴费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2.55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2.55</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30112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其他社会保障缴费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0.59</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0.59</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30113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住房公积金</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45.91</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45.91</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30114</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医疗费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30199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其他工资福利支出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302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商品和服务支出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185.37</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185.37</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办公费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3.26</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3.26</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印刷费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0.21</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0.21</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咨询费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2.20</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2.20</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30204</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手续费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30205</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水费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1.18</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1.18</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30206</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电费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8.39</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8.39</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邮电费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6.11</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6.11</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30208</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取暖费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35.37</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35.37</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30209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物业管理费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46.56</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46.56</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差旅费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0.24</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0.24</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因公出国（境）费用</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维修（护）费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10.48</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10.48</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30214</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租赁费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3.03</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3.03</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30215</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会议费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30216</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培训费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公务接待费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674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部门预算支出经济分类科目</w:t>
            </w:r>
          </w:p>
        </w:tc>
        <w:tc>
          <w:tcPr>
            <w:tcW w:w="9070" w:type="dxa"/>
            <w:gridSpan w:val="3"/>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科目代码</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18"/>
                <w:szCs w:val="18"/>
              </w:rPr>
            </w:pPr>
            <w:r>
              <w:rPr>
                <w:rFonts w:ascii="Times New Roman" w:cs="宋体" w:hAnsi="Times New Roman" w:hint="eastAsia"/>
                <w:kern w:val="0"/>
                <w:sz w:val="18"/>
                <w:szCs w:val="18"/>
              </w:rPr>
              <w:t>科目名称</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30218</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专用材料费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30224</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被装购置费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30225</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专用燃料费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30226</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劳务费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24.78</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24.78</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委托业务费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1.65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1.65</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30228</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工会经费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5.47</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5.47</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30229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福利费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3.32</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3.32</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30231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公务用车运行维护费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30239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其他交通费用</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20.64</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20.64</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30240</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税金及附加费用</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30299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其他商品和服务支出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r>
              <w:rPr>
                <w:rFonts w:ascii="Times New Roman" w:cs="Times New Roman" w:hAnsi="Times New Roman" w:hint="eastAsia"/>
                <w:kern w:val="0"/>
                <w:sz w:val="18"/>
                <w:szCs w:val="18"/>
                <w:lang w:val="en-US" w:eastAsia="zh-CN"/>
              </w:rPr>
              <w:t>12.49</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12.49</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303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对个人和家庭的补助</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3.41</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3.41</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离休费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退休费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退职（役）费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30304</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抚恤金</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30305</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生活补助</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3.10</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3.10</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医疗费补助</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30308</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助学金</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30309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奖励金</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30311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代缴社会保险费</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30399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其他对个人和家庭的补助</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0.31</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0.31</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310</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b/>
                <w:bCs/>
                <w:kern w:val="0"/>
                <w:sz w:val="18"/>
                <w:szCs w:val="18"/>
              </w:rPr>
            </w:pPr>
            <w:r>
              <w:rPr>
                <w:rFonts w:ascii="Times New Roman" w:cs="宋体" w:hAnsi="Times New Roman" w:hint="eastAsia"/>
                <w:b/>
                <w:bCs/>
                <w:kern w:val="0"/>
                <w:sz w:val="18"/>
                <w:szCs w:val="18"/>
              </w:rPr>
              <w:t>资本性支出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b/>
                <w:bCs/>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3.33</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31001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房屋建筑物购建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31002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办公设备购置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kern w:val="0"/>
                <w:sz w:val="18"/>
                <w:szCs w:val="18"/>
                <w:lang w:val="en-US" w:eastAsia="zh-CN"/>
              </w:rPr>
            </w:pPr>
            <w:r>
              <w:rPr>
                <w:rFonts w:ascii="Times New Roman" w:cs="Times New Roman" w:hAnsi="Times New Roman" w:hint="eastAsia"/>
                <w:kern w:val="0"/>
                <w:sz w:val="18"/>
                <w:szCs w:val="18"/>
                <w:lang w:val="en-US" w:eastAsia="zh-CN"/>
              </w:rPr>
              <w:t>3.33</w:t>
            </w: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31003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专用设备购置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31006</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大型修缮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31007</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信息网络及软件购置更新</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31013</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公务用车购置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31019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其他交通工具购置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31021</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文物和陈列品购置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31022</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无形资产购置</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1990"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31099</w:t>
            </w:r>
          </w:p>
        </w:tc>
        <w:tc>
          <w:tcPr>
            <w:tcW w:w="475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其他资本性支出</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18"/>
                <w:szCs w:val="18"/>
              </w:rPr>
            </w:pPr>
          </w:p>
        </w:tc>
      </w:tr>
      <w:tr>
        <w:trPr>
          <w:trHeight w:val="360"/>
        </w:trPr>
        <w:tc>
          <w:tcPr>
            <w:tcW w:w="6742" w:type="dxa"/>
            <w:gridSpan w:val="2"/>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b/>
                <w:bCs/>
                <w:kern w:val="0"/>
                <w:sz w:val="18"/>
                <w:szCs w:val="18"/>
              </w:rPr>
            </w:pPr>
            <w:r>
              <w:rPr>
                <w:rFonts w:ascii="Times New Roman" w:cs="宋体" w:hAnsi="Times New Roman" w:hint="eastAsia"/>
                <w:b/>
                <w:bCs/>
                <w:kern w:val="0"/>
                <w:sz w:val="18"/>
                <w:szCs w:val="18"/>
              </w:rPr>
              <w:t>合  计</w:t>
            </w:r>
          </w:p>
        </w:tc>
        <w:tc>
          <w:tcPr>
            <w:tcW w:w="3239"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668.65</w:t>
            </w:r>
          </w:p>
        </w:tc>
        <w:tc>
          <w:tcPr>
            <w:tcW w:w="302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479.94</w:t>
            </w:r>
          </w:p>
        </w:tc>
        <w:tc>
          <w:tcPr>
            <w:tcW w:w="28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eastAsia="宋体" w:cs="Times New Roman" w:hAnsi="Times New Roman"/>
                <w:b/>
                <w:bCs/>
                <w:kern w:val="0"/>
                <w:sz w:val="18"/>
                <w:szCs w:val="18"/>
                <w:lang w:val="en-US" w:eastAsia="zh-CN"/>
              </w:rPr>
            </w:pPr>
            <w:r>
              <w:rPr>
                <w:rFonts w:ascii="Times New Roman" w:cs="Times New Roman" w:hAnsi="Times New Roman" w:hint="eastAsia"/>
                <w:b/>
                <w:bCs/>
                <w:kern w:val="0"/>
                <w:sz w:val="18"/>
                <w:szCs w:val="18"/>
                <w:lang w:val="en-US" w:eastAsia="zh-CN"/>
              </w:rPr>
              <w:t>188.71</w:t>
            </w:r>
          </w:p>
        </w:tc>
      </w:tr>
    </w:tbl>
    <w:p>
      <w:pPr>
        <w:ind w:left="0" w:firstLine="640"/>
        <w:jc w:val="center"/>
        <w:rPr>
          <w:rFonts w:ascii="Times New Roman" w:eastAsia="方正仿宋_GBK" w:hAnsi="Times New Roman"/>
          <w:sz w:val="32"/>
          <w:szCs w:val="32"/>
        </w:rPr>
        <w:sectPr>
          <w:pgSz w:w="16838" w:h="11906" w:orient="landscape"/>
          <w:pgMar w:top="1134" w:right="1134" w:bottom="1134" w:left="1134" w:header="851" w:footer="992" w:gutter="0"/>
          <w:docGrid w:type="lines" w:linePitch="312" w:charSpace="0"/>
        </w:sectPr>
      </w:pPr>
    </w:p>
    <w:tbl>
      <w:tblPr>
        <w:jc w:val="center"/>
        <w:tblW w:w="1389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977"/>
        <w:gridCol w:w="3402"/>
        <w:gridCol w:w="2552"/>
        <w:gridCol w:w="2551"/>
        <w:gridCol w:w="2410"/>
      </w:tblGrid>
      <w:tr>
        <w:trPr>
          <w:trHeight w:val="315"/>
        </w:trPr>
        <w:tc>
          <w:tcPr>
            <w:tcW w:w="2977" w:type="dxa"/>
            <w:tcBorders>
              <w:top w:val="nil"/>
              <w:left w:val="nil"/>
              <w:bottom w:val="nil"/>
              <w:right w:val="nil"/>
            </w:tcBorders>
            <w:shd w:val="clear" w:color="auto" w:fill="auto"/>
            <w:vAlign w:val="center"/>
          </w:tcPr>
          <w:p>
            <w:pPr>
              <w:widowControl/>
              <w:ind w:left="0" w:firstLine="640"/>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vAlign w:val="center"/>
          </w:tcPr>
          <w:p>
            <w:pPr>
              <w:widowControl/>
              <w:ind w:left="0" w:firstLine="640"/>
              <w:jc w:val="left"/>
              <w:rPr>
                <w:rFonts w:ascii="Times New Roman" w:eastAsia="Times New Roman" w:cs="Times New Roman" w:hAnsi="Times New Roman"/>
                <w:kern w:val="0"/>
                <w:sz w:val="20"/>
                <w:szCs w:val="20"/>
              </w:rPr>
            </w:pPr>
          </w:p>
        </w:tc>
        <w:tc>
          <w:tcPr>
            <w:tcW w:w="2552" w:type="dxa"/>
            <w:tcBorders>
              <w:top w:val="nil"/>
              <w:left w:val="nil"/>
              <w:bottom w:val="nil"/>
              <w:right w:val="nil"/>
            </w:tcBorders>
            <w:shd w:val="clear" w:color="auto" w:fill="auto"/>
            <w:vAlign w:val="center"/>
          </w:tcPr>
          <w:p>
            <w:pPr>
              <w:widowControl/>
              <w:ind w:left="0" w:firstLine="640"/>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vAlign w:val="center"/>
          </w:tcPr>
          <w:p>
            <w:pPr>
              <w:widowControl/>
              <w:ind w:left="0" w:firstLine="640"/>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部门公开表7</w:t>
            </w:r>
          </w:p>
        </w:tc>
      </w:tr>
      <w:tr>
        <w:trPr>
          <w:trHeight w:val="645"/>
        </w:trPr>
        <w:tc>
          <w:tcPr>
            <w:tcW w:w="13892" w:type="dxa"/>
            <w:gridSpan w:val="5"/>
            <w:tcBorders>
              <w:top w:val="nil"/>
              <w:left w:val="nil"/>
              <w:bottom w:val="nil"/>
              <w:right w:val="nil"/>
            </w:tcBorders>
            <w:shd w:val="clear" w:color="auto" w:fill="auto"/>
            <w:vAlign w:val="center"/>
          </w:tcPr>
          <w:p>
            <w:pPr>
              <w:widowControl/>
              <w:ind w:left="0" w:firstLine="640"/>
              <w:jc w:val="center"/>
              <w:rPr>
                <w:rFonts w:ascii="Times New Roman" w:cs="宋体" w:hAnsi="Times New Roman"/>
                <w:kern w:val="0"/>
                <w:sz w:val="36"/>
                <w:szCs w:val="36"/>
              </w:rPr>
            </w:pPr>
            <w:r>
              <w:rPr>
                <w:rFonts w:ascii="Times New Roman" w:cs="宋体" w:hAnsi="Times New Roman" w:hint="eastAsia"/>
                <w:kern w:val="0"/>
                <w:sz w:val="36"/>
                <w:szCs w:val="36"/>
              </w:rPr>
              <w:t>政府性基金预算支出表</w:t>
            </w:r>
          </w:p>
        </w:tc>
      </w:tr>
      <w:tr>
        <w:trPr>
          <w:trHeight w:val="435"/>
        </w:trPr>
        <w:tc>
          <w:tcPr>
            <w:tcW w:w="2977" w:type="dxa"/>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kern w:val="0"/>
                <w:sz w:val="36"/>
                <w:szCs w:val="36"/>
              </w:rPr>
            </w:pPr>
          </w:p>
        </w:tc>
        <w:tc>
          <w:tcPr>
            <w:tcW w:w="3402" w:type="dxa"/>
            <w:tcBorders>
              <w:top w:val="nil"/>
              <w:left w:val="nil"/>
              <w:bottom w:val="single" w:sz="4" w:space="0" w:color="auto"/>
              <w:right w:val="nil"/>
            </w:tcBorders>
            <w:shd w:val="clear" w:color="auto" w:fill="auto"/>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nil"/>
            </w:tcBorders>
            <w:shd w:val="clear" w:color="auto" w:fill="auto"/>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nil"/>
            </w:tcBorders>
            <w:shd w:val="clear" w:color="auto" w:fill="auto"/>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nil"/>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单位：万元</w:t>
            </w:r>
          </w:p>
        </w:tc>
      </w:tr>
      <w:tr>
        <w:trPr>
          <w:trHeight w:hRule="exact" w:val="567"/>
        </w:trPr>
        <w:tc>
          <w:tcPr>
            <w:tcW w:w="297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科目名称</w:t>
            </w:r>
          </w:p>
        </w:tc>
        <w:tc>
          <w:tcPr>
            <w:tcW w:w="7513" w:type="dxa"/>
            <w:gridSpan w:val="3"/>
            <w:tcBorders>
              <w:top w:val="single" w:sz="4" w:space="0" w:color="auto"/>
              <w:left w:val="nil"/>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2023年政府性基金预算支出</w:t>
            </w:r>
          </w:p>
        </w:tc>
      </w:tr>
      <w:tr>
        <w:trPr>
          <w:trHeight w:hRule="exact" w:val="567"/>
        </w:trPr>
        <w:tc>
          <w:tcPr>
            <w:tcW w:w="2977" w:type="dxa"/>
            <w:vMerge/>
            <w:tcBorders>
              <w:top w:val="single" w:sz="4" w:space="0" w:color="auto"/>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2" w:type="dxa"/>
            <w:tcBorders>
              <w:top w:val="nil"/>
              <w:left w:val="nil"/>
              <w:bottom w:val="nil"/>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合计</w:t>
            </w:r>
          </w:p>
        </w:tc>
        <w:tc>
          <w:tcPr>
            <w:tcW w:w="2551" w:type="dxa"/>
            <w:tcBorders>
              <w:top w:val="nil"/>
              <w:left w:val="nil"/>
              <w:bottom w:val="single" w:sz="4" w:space="0" w:color="auto"/>
              <w:right w:val="nil"/>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基本支出</w:t>
            </w:r>
          </w:p>
        </w:tc>
        <w:tc>
          <w:tcPr>
            <w:tcW w:w="2410" w:type="dxa"/>
            <w:tcBorders>
              <w:top w:val="nil"/>
              <w:left w:val="single" w:sz="4" w:space="0" w:color="auto"/>
              <w:bottom w:val="nil"/>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项目支出</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single" w:sz="4" w:space="0" w:color="auto"/>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2977"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kern w:val="0"/>
                <w:sz w:val="20"/>
                <w:szCs w:val="20"/>
              </w:rPr>
            </w:pPr>
            <w:r>
              <w:rPr>
                <w:rFonts w:ascii="Times New Roman" w:cs="宋体" w:hAnsi="Times New Roman" w:hint="eastAsia"/>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　</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r>
        <w:trPr>
          <w:trHeight w:hRule="exact" w:val="567"/>
        </w:trPr>
        <w:tc>
          <w:tcPr>
            <w:tcW w:w="637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合  计</w:t>
            </w:r>
          </w:p>
        </w:tc>
        <w:tc>
          <w:tcPr>
            <w:tcW w:w="255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宋体" w:hAnsi="Times New Roman"/>
                <w:kern w:val="0"/>
                <w:sz w:val="20"/>
                <w:szCs w:val="20"/>
              </w:rPr>
            </w:pPr>
            <w:r>
              <w:rPr>
                <w:rFonts w:ascii="Times New Roman" w:cs="宋体" w:hAnsi="Times New Roman" w:hint="eastAsia"/>
                <w:kern w:val="0"/>
                <w:sz w:val="20"/>
                <w:szCs w:val="20"/>
              </w:rPr>
              <w:t>　</w:t>
            </w:r>
          </w:p>
        </w:tc>
      </w:tr>
    </w:tbl>
    <w:p>
      <w:pPr>
        <w:ind w:left="0" w:firstLine="640"/>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通辽</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政府性基金预算拨款收入，也无使用政府性基金安排的支出，故本表无数据。</w:t>
      </w:r>
    </w:p>
    <w:p>
      <w:pPr>
        <w:ind w:left="0" w:firstLine="640"/>
        <w:jc w:val="center"/>
        <w:rPr>
          <w:rFonts w:ascii="Times New Roman" w:eastAsia="方正仿宋_GBK" w:hAnsi="Times New Roman"/>
          <w:sz w:val="32"/>
          <w:szCs w:val="32"/>
        </w:rPr>
      </w:pPr>
    </w:p>
    <w:p>
      <w:pPr>
        <w:ind w:left="0" w:firstLine="640"/>
        <w:jc w:val="center"/>
        <w:rPr>
          <w:rFonts w:ascii="Times New Roman" w:eastAsia="方正仿宋_GBK" w:hAnsi="Times New Roman"/>
          <w:sz w:val="32"/>
          <w:szCs w:val="32"/>
        </w:rPr>
      </w:pPr>
    </w:p>
    <w:tbl>
      <w:tblPr>
        <w:jc w:val="center"/>
        <w:tblW w:w="1408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119"/>
        <w:gridCol w:w="3402"/>
        <w:gridCol w:w="2551"/>
        <w:gridCol w:w="2410"/>
        <w:gridCol w:w="2598"/>
      </w:tblGrid>
      <w:tr>
        <w:trPr>
          <w:trHeight w:val="285"/>
        </w:trPr>
        <w:tc>
          <w:tcPr>
            <w:tcW w:w="3119" w:type="dxa"/>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p>
        </w:tc>
        <w:tc>
          <w:tcPr>
            <w:tcW w:w="3402"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2551"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2410"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2598" w:type="dxa"/>
            <w:tcBorders>
              <w:top w:val="nil"/>
              <w:left w:val="nil"/>
              <w:bottom w:val="nil"/>
              <w:right w:val="nil"/>
            </w:tcBorders>
            <w:shd w:val="clear" w:color="auto" w:fill="auto"/>
            <w:noWrap/>
            <w:vAlign w:val="center"/>
          </w:tcPr>
          <w:p>
            <w:pPr>
              <w:widowControl/>
              <w:ind w:left="0" w:firstLine="640"/>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部门公开表8</w:t>
            </w:r>
          </w:p>
        </w:tc>
      </w:tr>
      <w:tr>
        <w:trPr>
          <w:trHeight w:val="450"/>
        </w:trPr>
        <w:tc>
          <w:tcPr>
            <w:tcW w:w="14080" w:type="dxa"/>
            <w:gridSpan w:val="5"/>
            <w:tcBorders>
              <w:top w:val="nil"/>
              <w:left w:val="nil"/>
              <w:bottom w:val="nil"/>
              <w:right w:val="nil"/>
            </w:tcBorders>
            <w:shd w:val="clear" w:color="auto" w:fill="auto"/>
            <w:vAlign w:val="center"/>
          </w:tcPr>
          <w:p>
            <w:pPr>
              <w:widowControl/>
              <w:ind w:left="0" w:firstLine="640"/>
              <w:jc w:val="center"/>
              <w:rPr>
                <w:rFonts w:ascii="Times New Roman" w:cs="宋体" w:hAnsi="Times New Roman"/>
                <w:kern w:val="0"/>
                <w:sz w:val="36"/>
                <w:szCs w:val="36"/>
              </w:rPr>
            </w:pPr>
            <w:r>
              <w:rPr>
                <w:rFonts w:ascii="Times New Roman" w:cs="宋体" w:hAnsi="Times New Roman" w:hint="eastAsia"/>
                <w:kern w:val="0"/>
                <w:sz w:val="36"/>
                <w:szCs w:val="36"/>
              </w:rPr>
              <w:t>国有资本经营预算支出表</w:t>
            </w:r>
          </w:p>
        </w:tc>
      </w:tr>
      <w:tr>
        <w:trPr>
          <w:trHeight w:val="285"/>
        </w:trPr>
        <w:tc>
          <w:tcPr>
            <w:tcW w:w="3119"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18"/>
                <w:szCs w:val="18"/>
              </w:rPr>
            </w:pPr>
            <w:r>
              <w:rPr>
                <w:rFonts w:ascii="Times New Roman" w:cs="宋体" w:hAnsi="Times New Roman" w:hint="eastAsia"/>
                <w:color w:val="000000"/>
                <w:kern w:val="0"/>
                <w:sz w:val="18"/>
                <w:szCs w:val="18"/>
              </w:rPr>
              <w:t>　</w:t>
            </w:r>
          </w:p>
        </w:tc>
        <w:tc>
          <w:tcPr>
            <w:tcW w:w="3402"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51" w:type="dxa"/>
            <w:tcBorders>
              <w:top w:val="nil"/>
              <w:left w:val="nil"/>
              <w:bottom w:val="single" w:sz="4" w:space="0" w:color="auto"/>
              <w:right w:val="nil"/>
            </w:tcBorders>
            <w:shd w:val="clear" w:color="auto" w:fill="auto"/>
            <w:noWrap/>
            <w:vAlign w:val="center"/>
          </w:tcPr>
          <w:p>
            <w:pPr>
              <w:widowControl/>
              <w:ind w:left="0" w:firstLine="640"/>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410" w:type="dxa"/>
            <w:tcBorders>
              <w:top w:val="nil"/>
              <w:left w:val="nil"/>
              <w:bottom w:val="single" w:sz="4" w:space="0" w:color="auto"/>
              <w:right w:val="nil"/>
            </w:tcBorders>
            <w:shd w:val="clear" w:color="auto" w:fill="auto"/>
            <w:noWrap/>
            <w:vAlign w:val="center"/>
          </w:tcPr>
          <w:p>
            <w:pPr>
              <w:widowControl/>
              <w:ind w:left="0" w:firstLine="640"/>
              <w:jc w:val="center"/>
              <w:rPr>
                <w:rFonts w:ascii="Times New Roman" w:cs="宋体" w:hAnsi="Times New Roman"/>
                <w:color w:val="000000"/>
                <w:kern w:val="0"/>
                <w:sz w:val="22"/>
              </w:rPr>
            </w:pPr>
            <w:r>
              <w:rPr>
                <w:rFonts w:ascii="Times New Roman" w:cs="宋体" w:hAnsi="Times New Roman" w:hint="eastAsia"/>
                <w:color w:val="000000"/>
                <w:kern w:val="0"/>
                <w:sz w:val="22"/>
              </w:rPr>
              <w:t>　</w:t>
            </w:r>
          </w:p>
        </w:tc>
        <w:tc>
          <w:tcPr>
            <w:tcW w:w="2598" w:type="dxa"/>
            <w:tcBorders>
              <w:top w:val="nil"/>
              <w:left w:val="nil"/>
              <w:bottom w:val="nil"/>
              <w:right w:val="nil"/>
            </w:tcBorders>
            <w:shd w:val="clear" w:color="auto" w:fill="auto"/>
            <w:noWrap/>
            <w:vAlign w:val="center"/>
          </w:tcPr>
          <w:p>
            <w:pPr>
              <w:widowControl/>
              <w:ind w:left="0" w:firstLine="640"/>
              <w:jc w:val="right"/>
              <w:rPr>
                <w:rFonts w:ascii="Times New Roman" w:cs="宋体" w:hAnsi="Times New Roman"/>
                <w:color w:val="000000"/>
                <w:kern w:val="0"/>
                <w:sz w:val="20"/>
                <w:szCs w:val="20"/>
              </w:rPr>
            </w:pPr>
            <w:r>
              <w:rPr>
                <w:rFonts w:ascii="Times New Roman" w:cs="宋体" w:hAnsi="Times New Roman" w:hint="eastAsia"/>
                <w:color w:val="000000"/>
                <w:kern w:val="0"/>
                <w:sz w:val="20"/>
                <w:szCs w:val="20"/>
              </w:rPr>
              <w:t>单位：万元</w:t>
            </w:r>
          </w:p>
        </w:tc>
      </w:tr>
      <w:tr>
        <w:trPr>
          <w:trHeight w:hRule="exact" w:val="567"/>
        </w:trPr>
        <w:tc>
          <w:tcPr>
            <w:tcW w:w="3119"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科目编码</w:t>
            </w:r>
          </w:p>
        </w:tc>
        <w:tc>
          <w:tcPr>
            <w:tcW w:w="3402" w:type="dxa"/>
            <w:vMerge w:val="restart"/>
            <w:tcBorders>
              <w:top w:val="nil"/>
              <w:left w:val="single" w:sz="4" w:space="0" w:color="auto"/>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科目名称</w:t>
            </w:r>
          </w:p>
        </w:tc>
        <w:tc>
          <w:tcPr>
            <w:tcW w:w="7559" w:type="dxa"/>
            <w:gridSpan w:val="3"/>
            <w:tcBorders>
              <w:top w:val="single" w:sz="4" w:space="0" w:color="auto"/>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2023年国有资本经营预算支出</w:t>
            </w:r>
          </w:p>
        </w:tc>
      </w:tr>
      <w:tr>
        <w:trPr>
          <w:trHeight w:hRule="exact" w:val="567"/>
        </w:trPr>
        <w:tc>
          <w:tcPr>
            <w:tcW w:w="3119" w:type="dxa"/>
            <w:vMerge/>
            <w:tcBorders>
              <w:top w:val="nil"/>
              <w:left w:val="single" w:sz="4" w:space="0" w:color="auto"/>
              <w:bottom w:val="single" w:sz="4" w:space="0" w:color="auto"/>
              <w:right w:val="single" w:sz="4" w:space="0" w:color="auto"/>
            </w:tcBorders>
            <w:vAlign w:val="center"/>
          </w:tcPr>
          <w:p/>
        </w:tc>
        <w:tc>
          <w:tcPr>
            <w:tcW w:w="3402" w:type="dxa"/>
            <w:vMerge/>
            <w:tcBorders>
              <w:top w:val="nil"/>
              <w:left w:val="single" w:sz="4" w:space="0" w:color="auto"/>
              <w:bottom w:val="single" w:sz="4" w:space="0" w:color="auto"/>
              <w:right w:val="single" w:sz="4" w:space="0" w:color="auto"/>
            </w:tcBorders>
            <w:vAlign w:val="center"/>
          </w:tcPr>
          <w:p/>
        </w:tc>
        <w:tc>
          <w:tcPr>
            <w:tcW w:w="2551"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小计</w:t>
            </w:r>
          </w:p>
        </w:tc>
        <w:tc>
          <w:tcPr>
            <w:tcW w:w="2410"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基本支出</w:t>
            </w:r>
          </w:p>
        </w:tc>
        <w:tc>
          <w:tcPr>
            <w:tcW w:w="2598"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项目支出</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3119" w:type="dxa"/>
            <w:tcBorders>
              <w:top w:val="nil"/>
              <w:left w:val="single" w:sz="4" w:space="0" w:color="auto"/>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3402" w:type="dxa"/>
            <w:tcBorders>
              <w:top w:val="nil"/>
              <w:left w:val="nil"/>
              <w:bottom w:val="single" w:sz="4" w:space="0" w:color="auto"/>
              <w:right w:val="single" w:sz="4" w:space="0" w:color="auto"/>
            </w:tcBorders>
            <w:shd w:val="clear" w:color="auto" w:fill="auto"/>
            <w:noWrap/>
            <w:vAlign w:val="center"/>
          </w:tcPr>
          <w:p>
            <w:pPr>
              <w:widowControl/>
              <w:ind w:left="0" w:firstLine="640"/>
              <w:jc w:val="left"/>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r>
        <w:trPr>
          <w:trHeight w:hRule="exact" w:val="567"/>
        </w:trPr>
        <w:tc>
          <w:tcPr>
            <w:tcW w:w="65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合   计</w:t>
            </w:r>
          </w:p>
        </w:tc>
        <w:tc>
          <w:tcPr>
            <w:tcW w:w="2551"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410"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c>
          <w:tcPr>
            <w:tcW w:w="2598" w:type="dxa"/>
            <w:tcBorders>
              <w:top w:val="nil"/>
              <w:left w:val="nil"/>
              <w:bottom w:val="single" w:sz="4" w:space="0" w:color="auto"/>
              <w:right w:val="single" w:sz="4" w:space="0" w:color="auto"/>
            </w:tcBorders>
            <w:shd w:val="clear" w:color="auto" w:fill="auto"/>
            <w:noWrap/>
            <w:vAlign w:val="center"/>
          </w:tcPr>
          <w:p>
            <w:pPr>
              <w:widowControl/>
              <w:ind w:left="0" w:firstLine="640"/>
              <w:jc w:val="center"/>
              <w:rPr>
                <w:rFonts w:ascii="Times New Roman" w:cs="宋体" w:hAnsi="Times New Roman"/>
                <w:color w:val="000000"/>
                <w:kern w:val="0"/>
                <w:sz w:val="20"/>
                <w:szCs w:val="20"/>
              </w:rPr>
            </w:pPr>
            <w:r>
              <w:rPr>
                <w:rFonts w:ascii="Times New Roman" w:cs="宋体" w:hAnsi="Times New Roman" w:hint="eastAsia"/>
                <w:color w:val="000000"/>
                <w:kern w:val="0"/>
                <w:sz w:val="20"/>
                <w:szCs w:val="20"/>
              </w:rPr>
              <w:t>　</w:t>
            </w:r>
          </w:p>
        </w:tc>
      </w:tr>
    </w:tbl>
    <w:p>
      <w:pPr>
        <w:ind w:left="0" w:firstLine="640"/>
        <w:rPr>
          <w:rFonts w:ascii="Times New Roman" w:eastAsia="方正仿宋_GBK" w:cs="Times New Roman" w:hAnsi="Times New Roman"/>
          <w:sz w:val="24"/>
          <w:szCs w:val="24"/>
        </w:rPr>
      </w:pPr>
      <w:r>
        <w:rPr>
          <w:rFonts w:ascii="Times New Roman" w:eastAsia="方正仿宋_GBK" w:cs="Times New Roman" w:hAnsi="Times New Roman" w:hint="eastAsia"/>
          <w:sz w:val="24"/>
          <w:szCs w:val="24"/>
        </w:rPr>
        <w:t>注</w:t>
      </w:r>
      <w:r>
        <w:rPr>
          <w:rFonts w:ascii="Times New Roman" w:eastAsia="方正仿宋_GBK" w:cs="Times New Roman" w:hAnsi="Times New Roman"/>
          <w:sz w:val="24"/>
          <w:szCs w:val="24"/>
        </w:rPr>
        <w:t>：</w:t>
      </w:r>
      <w:r>
        <w:rPr>
          <w:rFonts w:ascii="Times New Roman" w:eastAsia="方正仿宋_GBK" w:cs="Times New Roman" w:hAnsi="Times New Roman" w:hint="eastAsia"/>
          <w:sz w:val="24"/>
          <w:szCs w:val="24"/>
        </w:rPr>
        <w:t>通辽</w:t>
      </w:r>
      <w:r>
        <w:rPr>
          <w:rFonts w:ascii="Times New Roman" w:eastAsia="方正仿宋_GBK" w:cs="Times New Roman" w:hAnsi="Times New Roman"/>
          <w:sz w:val="24"/>
          <w:szCs w:val="24"/>
        </w:rPr>
        <w:t>海关无</w:t>
      </w:r>
      <w:r>
        <w:rPr>
          <w:rFonts w:ascii="Times New Roman" w:eastAsia="方正仿宋_GBK" w:cs="Times New Roman" w:hAnsi="Times New Roman" w:hint="eastAsia"/>
          <w:sz w:val="24"/>
          <w:szCs w:val="24"/>
        </w:rPr>
        <w:t>国有资本经营</w:t>
      </w:r>
      <w:r>
        <w:rPr>
          <w:rFonts w:ascii="Times New Roman" w:eastAsia="方正仿宋_GBK" w:cs="Times New Roman" w:hAnsi="Times New Roman"/>
          <w:sz w:val="24"/>
          <w:szCs w:val="24"/>
        </w:rPr>
        <w:t>预算</w:t>
      </w:r>
      <w:r>
        <w:rPr>
          <w:rFonts w:ascii="Times New Roman" w:eastAsia="方正仿宋_GBK" w:cs="Times New Roman" w:hAnsi="Times New Roman" w:hint="eastAsia"/>
          <w:sz w:val="24"/>
          <w:szCs w:val="24"/>
        </w:rPr>
        <w:t>收入，也无国有资本经营预算安排的支出，故本表无数据。</w:t>
      </w:r>
    </w:p>
    <w:p>
      <w:pPr>
        <w:ind w:left="0" w:firstLine="640"/>
        <w:jc w:val="center"/>
        <w:rPr>
          <w:rFonts w:ascii="Times New Roman" w:eastAsia="方正仿宋_GBK" w:hAnsi="Times New Roman"/>
          <w:sz w:val="32"/>
          <w:szCs w:val="32"/>
        </w:rPr>
      </w:pPr>
    </w:p>
    <w:tbl>
      <w:tblPr>
        <w:tblpPr w:leftFromText="180" w:rightFromText="180" w:horzAnchor="margin" w:tblpXSpec="center" w:tblpY="405"/>
        <w:tblW w:w="1420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016"/>
        <w:gridCol w:w="1108"/>
        <w:gridCol w:w="1278"/>
        <w:gridCol w:w="1134"/>
        <w:gridCol w:w="1134"/>
        <w:gridCol w:w="1407"/>
        <w:gridCol w:w="966"/>
        <w:gridCol w:w="1272"/>
        <w:gridCol w:w="1175"/>
        <w:gridCol w:w="1134"/>
        <w:gridCol w:w="1134"/>
        <w:gridCol w:w="1445"/>
      </w:tblGrid>
      <w:tr>
        <w:trPr>
          <w:trHeight w:val="285"/>
        </w:trPr>
        <w:tc>
          <w:tcPr>
            <w:tcW w:w="1016" w:type="dxa"/>
            <w:tcBorders>
              <w:top w:val="nil"/>
              <w:left w:val="nil"/>
              <w:bottom w:val="nil"/>
              <w:right w:val="nil"/>
            </w:tcBorders>
            <w:shd w:val="clear" w:color="auto" w:fill="auto"/>
            <w:noWrap/>
            <w:vAlign w:val="center"/>
          </w:tcPr>
          <w:p>
            <w:pPr>
              <w:widowControl/>
              <w:ind w:left="0" w:firstLine="640"/>
              <w:jc w:val="left"/>
              <w:rPr>
                <w:rFonts w:ascii="Times New Roman" w:cs="宋体" w:hAnsi="Times New Roman"/>
                <w:kern w:val="0"/>
                <w:sz w:val="24"/>
                <w:szCs w:val="24"/>
              </w:rPr>
            </w:pPr>
          </w:p>
        </w:tc>
        <w:tc>
          <w:tcPr>
            <w:tcW w:w="1108"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278"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407"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966"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272"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75"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widowControl/>
              <w:ind w:left="0" w:firstLine="640"/>
              <w:jc w:val="left"/>
              <w:rPr>
                <w:rFonts w:ascii="Times New Roman" w:eastAsia="Times New Roman" w:cs="Times New Roman" w:hAnsi="Times New Roman"/>
                <w:kern w:val="0"/>
                <w:sz w:val="20"/>
                <w:szCs w:val="20"/>
              </w:rPr>
            </w:pPr>
          </w:p>
        </w:tc>
        <w:tc>
          <w:tcPr>
            <w:tcW w:w="1445" w:type="dxa"/>
            <w:tcBorders>
              <w:top w:val="nil"/>
              <w:left w:val="nil"/>
              <w:bottom w:val="nil"/>
              <w:right w:val="nil"/>
            </w:tcBorders>
            <w:shd w:val="clear" w:color="auto" w:fill="auto"/>
            <w:noWrap/>
            <w:vAlign w:val="center"/>
          </w:tcPr>
          <w:p>
            <w:pPr>
              <w:widowControl/>
              <w:ind w:left="0" w:firstLine="0"/>
              <w:jc w:val="both"/>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部门公开表9</w:t>
            </w:r>
          </w:p>
        </w:tc>
      </w:tr>
      <w:tr>
        <w:trPr>
          <w:trHeight w:val="405"/>
        </w:trPr>
        <w:tc>
          <w:tcPr>
            <w:tcW w:w="14203" w:type="dxa"/>
            <w:gridSpan w:val="12"/>
            <w:tcBorders>
              <w:top w:val="nil"/>
              <w:left w:val="nil"/>
              <w:bottom w:val="nil"/>
              <w:right w:val="nil"/>
            </w:tcBorders>
            <w:shd w:val="clear" w:color="auto" w:fill="auto"/>
            <w:noWrap/>
            <w:vAlign w:val="center"/>
          </w:tcPr>
          <w:p>
            <w:pPr>
              <w:widowControl/>
              <w:ind w:left="0" w:firstLine="640"/>
              <w:jc w:val="center"/>
              <w:rPr>
                <w:rFonts w:ascii="Times New Roman" w:cs="宋体" w:hAnsi="Times New Roman"/>
                <w:kern w:val="0"/>
                <w:sz w:val="36"/>
                <w:szCs w:val="36"/>
              </w:rPr>
            </w:pPr>
            <w:r>
              <w:rPr>
                <w:rFonts w:ascii="Times New Roman" w:cs="宋体" w:hAnsi="Times New Roman" w:hint="eastAsia"/>
                <w:kern w:val="0"/>
                <w:sz w:val="36"/>
                <w:szCs w:val="36"/>
              </w:rPr>
              <w:t>财政拨款预算“三公”经费支出表</w:t>
            </w:r>
          </w:p>
        </w:tc>
      </w:tr>
      <w:tr>
        <w:trPr>
          <w:trHeight w:val="327"/>
        </w:trPr>
        <w:tc>
          <w:tcPr>
            <w:tcW w:w="101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08"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8"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07"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966"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272"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75"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widowControl/>
              <w:ind w:left="0" w:firstLine="640"/>
              <w:jc w:val="left"/>
              <w:rPr>
                <w:rFonts w:ascii="Times New Roman" w:cs="宋体" w:hAnsi="Times New Roman"/>
                <w:kern w:val="0"/>
                <w:sz w:val="18"/>
                <w:szCs w:val="18"/>
              </w:rPr>
            </w:pPr>
            <w:r>
              <w:rPr>
                <w:rFonts w:ascii="Times New Roman" w:cs="宋体" w:hAnsi="Times New Roman" w:hint="eastAsia"/>
                <w:kern w:val="0"/>
                <w:sz w:val="18"/>
                <w:szCs w:val="18"/>
              </w:rPr>
              <w:t>　</w:t>
            </w:r>
          </w:p>
        </w:tc>
        <w:tc>
          <w:tcPr>
            <w:tcW w:w="1445" w:type="dxa"/>
            <w:tcBorders>
              <w:top w:val="nil"/>
              <w:left w:val="nil"/>
              <w:bottom w:val="single" w:sz="4" w:space="0" w:color="auto"/>
              <w:right w:val="nil"/>
            </w:tcBorders>
            <w:shd w:val="clear" w:color="auto" w:fill="auto"/>
            <w:noWrap/>
            <w:vAlign w:val="center"/>
          </w:tcPr>
          <w:p>
            <w:pPr>
              <w:widowControl/>
              <w:ind w:left="0" w:firstLine="640"/>
              <w:jc w:val="right"/>
              <w:rPr>
                <w:rFonts w:ascii="Times New Roman" w:cs="宋体" w:hAnsi="Times New Roman"/>
                <w:kern w:val="0"/>
                <w:sz w:val="18"/>
                <w:szCs w:val="18"/>
              </w:rPr>
            </w:pPr>
            <w:r>
              <w:rPr>
                <w:rFonts w:ascii="Times New Roman" w:cs="宋体" w:hAnsi="Times New Roman" w:hint="eastAsia"/>
                <w:kern w:val="0"/>
                <w:sz w:val="18"/>
                <w:szCs w:val="18"/>
              </w:rPr>
              <w:t>单位：万元</w:t>
            </w:r>
          </w:p>
        </w:tc>
      </w:tr>
      <w:tr>
        <w:trPr>
          <w:trHeight w:val="660"/>
        </w:trPr>
        <w:tc>
          <w:tcPr>
            <w:tcW w:w="7077" w:type="dxa"/>
            <w:gridSpan w:val="6"/>
            <w:tcBorders>
              <w:top w:val="single" w:sz="4" w:space="0" w:color="auto"/>
              <w:left w:val="single" w:sz="4" w:space="0" w:color="auto"/>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hint="eastAsia"/>
                <w:kern w:val="0"/>
                <w:sz w:val="20"/>
                <w:szCs w:val="20"/>
                <w:lang w:val="en-US" w:eastAsia="zh-CN"/>
              </w:rPr>
              <w:t>3</w:t>
            </w:r>
            <w:r>
              <w:rPr>
                <w:rFonts w:ascii="Times New Roman" w:cs="宋体" w:hAnsi="Times New Roman" w:hint="eastAsia"/>
                <w:kern w:val="0"/>
                <w:sz w:val="20"/>
                <w:szCs w:val="20"/>
              </w:rPr>
              <w:t>年预算数</w:t>
            </w:r>
          </w:p>
        </w:tc>
        <w:tc>
          <w:tcPr>
            <w:tcW w:w="7126" w:type="dxa"/>
            <w:gridSpan w:val="6"/>
            <w:tcBorders>
              <w:top w:val="single" w:sz="4" w:space="0" w:color="auto"/>
              <w:left w:val="nil"/>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202</w:t>
            </w:r>
            <w:r>
              <w:rPr>
                <w:rFonts w:ascii="Times New Roman" w:cs="宋体" w:hAnsi="Times New Roman" w:hint="eastAsia"/>
                <w:kern w:val="0"/>
                <w:sz w:val="20"/>
                <w:szCs w:val="20"/>
                <w:lang w:val="en-US" w:eastAsia="zh-CN"/>
              </w:rPr>
              <w:t>4</w:t>
            </w:r>
            <w:r>
              <w:rPr>
                <w:rFonts w:ascii="Times New Roman" w:cs="宋体" w:hAnsi="Times New Roman" w:hint="eastAsia"/>
                <w:kern w:val="0"/>
                <w:sz w:val="20"/>
                <w:szCs w:val="20"/>
              </w:rPr>
              <w:t>年预算数</w:t>
            </w:r>
          </w:p>
        </w:tc>
      </w:tr>
      <w:tr>
        <w:trPr>
          <w:trHeight w:val="870"/>
        </w:trPr>
        <w:tc>
          <w:tcPr>
            <w:tcW w:w="1016"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合计</w:t>
            </w:r>
          </w:p>
        </w:tc>
        <w:tc>
          <w:tcPr>
            <w:tcW w:w="1108"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546" w:type="dxa"/>
            <w:gridSpan w:val="3"/>
            <w:tcBorders>
              <w:top w:val="single" w:sz="4" w:space="0" w:color="auto"/>
              <w:left w:val="nil"/>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07"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公务接待费</w:t>
            </w:r>
          </w:p>
        </w:tc>
        <w:tc>
          <w:tcPr>
            <w:tcW w:w="966"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合计</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因公出国（境）费</w:t>
            </w:r>
          </w:p>
        </w:tc>
        <w:tc>
          <w:tcPr>
            <w:tcW w:w="3443" w:type="dxa"/>
            <w:gridSpan w:val="3"/>
            <w:tcBorders>
              <w:top w:val="single" w:sz="4" w:space="0" w:color="auto"/>
              <w:left w:val="nil"/>
              <w:bottom w:val="single" w:sz="4" w:space="0" w:color="auto"/>
              <w:right w:val="single" w:sz="4" w:space="0" w:color="000000"/>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公务用车购置及运行费</w:t>
            </w:r>
          </w:p>
        </w:tc>
        <w:tc>
          <w:tcPr>
            <w:tcW w:w="1445" w:type="dxa"/>
            <w:vMerge w:val="restart"/>
            <w:tcBorders>
              <w:top w:val="nil"/>
              <w:left w:val="single" w:sz="4" w:space="0" w:color="auto"/>
              <w:bottom w:val="single" w:sz="4" w:space="0" w:color="000000"/>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公务接待费</w:t>
            </w:r>
          </w:p>
        </w:tc>
      </w:tr>
      <w:tr>
        <w:trPr>
          <w:trHeight w:val="735"/>
        </w:trPr>
        <w:tc>
          <w:tcPr>
            <w:tcW w:w="1016" w:type="dxa"/>
            <w:vMerge/>
            <w:tcBorders>
              <w:top w:val="nil"/>
              <w:left w:val="single" w:sz="4" w:space="0" w:color="auto"/>
              <w:bottom w:val="single" w:sz="4" w:space="0" w:color="000000"/>
              <w:right w:val="single" w:sz="4" w:space="0" w:color="auto"/>
            </w:tcBorders>
            <w:vAlign w:val="center"/>
          </w:tcPr>
          <w:p/>
        </w:tc>
        <w:tc>
          <w:tcPr>
            <w:tcW w:w="1108" w:type="dxa"/>
            <w:vMerge/>
            <w:tcBorders>
              <w:top w:val="nil"/>
              <w:left w:val="single" w:sz="4" w:space="0" w:color="auto"/>
              <w:bottom w:val="single" w:sz="4" w:space="0" w:color="000000"/>
              <w:right w:val="single" w:sz="4" w:space="0" w:color="auto"/>
            </w:tcBorders>
            <w:vAlign w:val="center"/>
          </w:tcPr>
          <w:p/>
        </w:tc>
        <w:tc>
          <w:tcPr>
            <w:tcW w:w="1278" w:type="dxa"/>
            <w:tcBorders>
              <w:top w:val="nil"/>
              <w:left w:val="nil"/>
              <w:bottom w:val="single" w:sz="4" w:space="0" w:color="auto"/>
              <w:right w:val="single" w:sz="4" w:space="0" w:color="auto"/>
            </w:tcBorders>
            <w:shd w:val="clear" w:color="auto" w:fill="auto"/>
            <w:vAlign w:val="center"/>
          </w:tcPr>
          <w:p>
            <w:pPr>
              <w:widowControl/>
              <w:ind w:left="0" w:firstLine="640"/>
              <w:jc w:val="center"/>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07" w:type="dxa"/>
            <w:vMerge/>
            <w:tcBorders>
              <w:top w:val="nil"/>
              <w:left w:val="single" w:sz="4" w:space="0" w:color="auto"/>
              <w:bottom w:val="single" w:sz="4" w:space="0" w:color="000000"/>
              <w:right w:val="single" w:sz="4" w:space="0" w:color="auto"/>
            </w:tcBorders>
            <w:vAlign w:val="center"/>
          </w:tcPr>
          <w:p/>
        </w:tc>
        <w:tc>
          <w:tcPr>
            <w:tcW w:w="966" w:type="dxa"/>
            <w:vMerge/>
            <w:tcBorders>
              <w:top w:val="nil"/>
              <w:left w:val="single" w:sz="4" w:space="0" w:color="auto"/>
              <w:bottom w:val="single" w:sz="4" w:space="0" w:color="000000"/>
              <w:right w:val="single" w:sz="4" w:space="0" w:color="auto"/>
            </w:tcBorders>
            <w:vAlign w:val="center"/>
          </w:tcPr>
          <w:p/>
        </w:tc>
        <w:tc>
          <w:tcPr>
            <w:tcW w:w="1272" w:type="dxa"/>
            <w:vMerge/>
            <w:tcBorders>
              <w:top w:val="nil"/>
              <w:left w:val="single" w:sz="4" w:space="0" w:color="auto"/>
              <w:bottom w:val="single" w:sz="4" w:space="0" w:color="000000"/>
              <w:right w:val="single" w:sz="4" w:space="0" w:color="auto"/>
            </w:tcBorders>
            <w:vAlign w:val="center"/>
          </w:tcPr>
          <w:p/>
        </w:tc>
        <w:tc>
          <w:tcPr>
            <w:tcW w:w="1175" w:type="dxa"/>
            <w:tcBorders>
              <w:top w:val="nil"/>
              <w:left w:val="nil"/>
              <w:bottom w:val="single" w:sz="4" w:space="0" w:color="auto"/>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小计</w:t>
            </w:r>
          </w:p>
        </w:tc>
        <w:tc>
          <w:tcPr>
            <w:tcW w:w="1134" w:type="dxa"/>
            <w:tcBorders>
              <w:top w:val="nil"/>
              <w:left w:val="nil"/>
              <w:bottom w:val="single" w:sz="4" w:space="0" w:color="auto"/>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公务用车购置费</w:t>
            </w:r>
          </w:p>
        </w:tc>
        <w:tc>
          <w:tcPr>
            <w:tcW w:w="1134" w:type="dxa"/>
            <w:tcBorders>
              <w:top w:val="nil"/>
              <w:left w:val="nil"/>
              <w:bottom w:val="single" w:sz="4" w:space="0" w:color="auto"/>
              <w:right w:val="single" w:sz="4" w:space="0" w:color="auto"/>
            </w:tcBorders>
            <w:shd w:val="clear" w:color="auto" w:fill="auto"/>
            <w:vAlign w:val="center"/>
          </w:tcPr>
          <w:p>
            <w:pPr>
              <w:widowControl/>
              <w:rPr>
                <w:rFonts w:ascii="Times New Roman" w:cs="宋体" w:hAnsi="Times New Roman"/>
                <w:kern w:val="0"/>
                <w:sz w:val="20"/>
                <w:szCs w:val="20"/>
              </w:rPr>
            </w:pPr>
            <w:r>
              <w:rPr>
                <w:rFonts w:ascii="Times New Roman" w:cs="宋体" w:hAnsi="Times New Roman" w:hint="eastAsia"/>
                <w:kern w:val="0"/>
                <w:sz w:val="20"/>
                <w:szCs w:val="20"/>
              </w:rPr>
              <w:t>公务用车运行费</w:t>
            </w:r>
          </w:p>
        </w:tc>
        <w:tc>
          <w:tcPr>
            <w:tcW w:w="1445" w:type="dxa"/>
            <w:vMerge/>
            <w:tcBorders>
              <w:top w:val="nil"/>
              <w:left w:val="single" w:sz="4" w:space="0" w:color="auto"/>
              <w:bottom w:val="single" w:sz="4" w:space="0" w:color="000000"/>
              <w:right w:val="single" w:sz="4" w:space="0" w:color="auto"/>
            </w:tcBorders>
            <w:vAlign w:val="center"/>
          </w:tcPr>
          <w:p/>
        </w:tc>
      </w:tr>
      <w:tr>
        <w:trPr>
          <w:trHeight w:val="1335"/>
        </w:trPr>
        <w:tc>
          <w:tcPr>
            <w:tcW w:w="1016" w:type="dxa"/>
            <w:tcBorders>
              <w:top w:val="nil"/>
              <w:left w:val="single" w:sz="4" w:space="0" w:color="auto"/>
              <w:bottom w:val="single" w:sz="4" w:space="0" w:color="auto"/>
              <w:right w:val="single" w:sz="4" w:space="0" w:color="auto"/>
            </w:tcBorders>
            <w:shd w:val="clear" w:color="auto" w:fill="auto"/>
            <w:noWrap/>
            <w:vAlign w:val="center"/>
          </w:tcPr>
          <w:p>
            <w:pPr>
              <w:widowControl/>
              <w:rPr>
                <w:rFonts w:ascii="Times New Roman" w:eastAsia="宋体" w:cs="Times New Roman" w:hAnsi="Times New Roman"/>
                <w:kern w:val="0"/>
                <w:sz w:val="20"/>
                <w:szCs w:val="20"/>
                <w:lang w:val="en-US" w:eastAsia="zh-CN"/>
              </w:rPr>
            </w:pPr>
            <w:r>
              <w:rPr>
                <w:rFonts w:ascii="Times New Roman" w:cs="Times New Roman" w:hAnsi="Times New Roman"/>
                <w:kern w:val="0"/>
                <w:sz w:val="20"/>
                <w:szCs w:val="20"/>
                <w:lang w:val="en-US" w:eastAsia="zh-CN"/>
              </w:rPr>
              <w:t>1</w:t>
            </w:r>
            <w:r>
              <w:rPr>
                <w:rFonts w:ascii="Times New Roman" w:cs="Times New Roman" w:hAnsi="Times New Roman" w:hint="eastAsia"/>
                <w:kern w:val="0"/>
                <w:sz w:val="20"/>
                <w:szCs w:val="20"/>
                <w:lang w:val="en-US" w:eastAsia="zh-CN"/>
              </w:rPr>
              <w:t>4.40</w:t>
            </w:r>
          </w:p>
        </w:tc>
        <w:tc>
          <w:tcPr>
            <w:tcW w:w="1108"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278"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pPr>
              <w:widowControl/>
              <w:rPr>
                <w:rFonts w:ascii="Times New Roman" w:eastAsia="宋体" w:cs="Times New Roman" w:hAnsi="Times New Roman"/>
                <w:kern w:val="0"/>
                <w:sz w:val="20"/>
                <w:szCs w:val="20"/>
                <w:lang w:val="en-US" w:eastAsia="zh-CN"/>
              </w:rPr>
            </w:pPr>
            <w:r>
              <w:rPr>
                <w:rFonts w:ascii="Times New Roman" w:cs="Times New Roman" w:hAnsi="Times New Roman" w:hint="eastAsia"/>
                <w:kern w:val="0"/>
                <w:sz w:val="20"/>
                <w:szCs w:val="20"/>
                <w:lang w:val="en-US" w:eastAsia="zh-CN"/>
              </w:rPr>
              <w:t>14.40</w:t>
            </w:r>
          </w:p>
        </w:tc>
        <w:tc>
          <w:tcPr>
            <w:tcW w:w="1407"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966"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kern w:val="0"/>
                <w:sz w:val="20"/>
                <w:szCs w:val="20"/>
              </w:rPr>
            </w:pPr>
            <w:r>
              <w:rPr>
                <w:rFonts w:ascii="Times New Roman" w:cs="Times New Roman" w:hAnsi="Times New Roman" w:hint="eastAsia"/>
                <w:kern w:val="0"/>
                <w:sz w:val="20"/>
                <w:szCs w:val="20"/>
              </w:rPr>
              <w:t>14.40</w:t>
            </w:r>
          </w:p>
        </w:tc>
        <w:tc>
          <w:tcPr>
            <w:tcW w:w="1272"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175"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c>
          <w:tcPr>
            <w:tcW w:w="1134" w:type="dxa"/>
            <w:tcBorders>
              <w:top w:val="nil"/>
              <w:left w:val="nil"/>
              <w:bottom w:val="single" w:sz="4" w:space="0" w:color="auto"/>
              <w:right w:val="single" w:sz="4" w:space="0" w:color="auto"/>
            </w:tcBorders>
            <w:shd w:val="clear" w:color="auto" w:fill="auto"/>
            <w:noWrap/>
            <w:vAlign w:val="center"/>
          </w:tcPr>
          <w:p>
            <w:pPr>
              <w:widowControl/>
              <w:rPr>
                <w:rFonts w:ascii="Times New Roman" w:cs="Times New Roman" w:hAnsi="Times New Roman"/>
                <w:kern w:val="0"/>
                <w:sz w:val="20"/>
                <w:szCs w:val="20"/>
              </w:rPr>
            </w:pPr>
            <w:r>
              <w:rPr>
                <w:rFonts w:ascii="Times New Roman" w:cs="Times New Roman" w:hAnsi="Times New Roman" w:hint="eastAsia"/>
                <w:kern w:val="0"/>
                <w:sz w:val="20"/>
                <w:szCs w:val="20"/>
              </w:rPr>
              <w:t>14.40</w:t>
            </w:r>
          </w:p>
        </w:tc>
        <w:tc>
          <w:tcPr>
            <w:tcW w:w="1445" w:type="dxa"/>
            <w:tcBorders>
              <w:top w:val="nil"/>
              <w:left w:val="nil"/>
              <w:bottom w:val="single" w:sz="4" w:space="0" w:color="auto"/>
              <w:right w:val="single" w:sz="4" w:space="0" w:color="auto"/>
            </w:tcBorders>
            <w:shd w:val="clear" w:color="auto" w:fill="auto"/>
            <w:noWrap/>
            <w:vAlign w:val="center"/>
          </w:tcPr>
          <w:p>
            <w:pPr>
              <w:widowControl/>
              <w:ind w:left="0" w:firstLine="640"/>
              <w:jc w:val="right"/>
              <w:rPr>
                <w:rFonts w:ascii="Times New Roman" w:cs="Times New Roman" w:hAnsi="Times New Roman"/>
                <w:kern w:val="0"/>
                <w:sz w:val="20"/>
                <w:szCs w:val="20"/>
              </w:rPr>
            </w:pPr>
            <w:r>
              <w:rPr>
                <w:rFonts w:ascii="Times New Roman" w:cs="Times New Roman" w:hAnsi="Times New Roman" w:hint="eastAsia"/>
                <w:kern w:val="0"/>
                <w:sz w:val="20"/>
                <w:szCs w:val="20"/>
              </w:rPr>
              <w:t>0</w:t>
            </w:r>
          </w:p>
        </w:tc>
      </w:tr>
    </w:tbl>
    <w:p>
      <w:pPr>
        <w:ind w:left="0" w:firstLine="640"/>
        <w:rPr>
          <w:rFonts w:ascii="Times New Roman" w:eastAsia="方正仿宋_GBK" w:hAnsi="Times New Roman"/>
          <w:sz w:val="32"/>
          <w:szCs w:val="32"/>
        </w:rPr>
        <w:sectPr>
          <w:pgSz w:w="16838" w:h="11906" w:orient="landscape"/>
          <w:pgMar w:top="1800" w:right="1440" w:bottom="1800" w:left="1440" w:header="851" w:footer="992" w:gutter="0"/>
          <w:docGrid w:type="lines" w:linePitch="312" w:charSpace="0"/>
        </w:sectPr>
      </w:pPr>
    </w:p>
    <w:p>
      <w:pPr>
        <w:ind w:left="0" w:firstLine="640"/>
        <w:jc w:val="center"/>
        <w:rPr>
          <w:rFonts w:ascii="Times New Roman" w:hAnsi="Times New Roman"/>
          <w:b/>
          <w:sz w:val="84"/>
          <w:szCs w:val="84"/>
        </w:rPr>
      </w:pPr>
    </w:p>
    <w:p>
      <w:pPr>
        <w:ind w:left="0" w:firstLine="640"/>
        <w:jc w:val="center"/>
        <w:rPr>
          <w:rFonts w:ascii="Times New Roman" w:hAnsi="Times New Roman"/>
          <w:b/>
          <w:sz w:val="84"/>
          <w:szCs w:val="84"/>
        </w:rPr>
      </w:pPr>
    </w:p>
    <w:p>
      <w:pPr>
        <w:ind w:left="0" w:firstLine="640"/>
        <w:jc w:val="center"/>
        <w:rPr>
          <w:rFonts w:ascii="Times New Roman" w:hAnsi="Times New Roman"/>
          <w:b/>
          <w:sz w:val="84"/>
          <w:szCs w:val="84"/>
        </w:rPr>
      </w:pPr>
    </w:p>
    <w:p>
      <w:pPr>
        <w:ind w:left="0" w:firstLine="0"/>
        <w:jc w:val="center"/>
        <w:rPr>
          <w:rFonts w:ascii="Times New Roman" w:hAnsi="Times New Roman"/>
          <w:b/>
          <w:sz w:val="84"/>
          <w:szCs w:val="84"/>
        </w:rPr>
      </w:pPr>
    </w:p>
    <w:p>
      <w:pPr>
        <w:ind w:left="0" w:firstLine="0"/>
        <w:jc w:val="center"/>
        <w:rPr>
          <w:rFonts w:ascii="Times New Roman" w:hAnsi="Times New Roman"/>
          <w:b/>
          <w:sz w:val="84"/>
          <w:szCs w:val="84"/>
        </w:rPr>
      </w:pPr>
      <w:r>
        <w:rPr>
          <w:rFonts w:ascii="Times New Roman" w:hAnsi="Times New Roman" w:hint="eastAsia"/>
          <w:b/>
          <w:sz w:val="84"/>
          <w:szCs w:val="84"/>
        </w:rPr>
        <w:t>第三部分</w:t>
      </w:r>
      <w:r>
        <w:rPr>
          <w:rFonts w:ascii="Times New Roman" w:hAnsi="Times New Roman"/>
          <w:b/>
          <w:sz w:val="84"/>
          <w:szCs w:val="84"/>
        </w:rPr>
        <w:t xml:space="preserve">  </w:t>
      </w:r>
    </w:p>
    <w:p>
      <w:pPr>
        <w:ind w:left="0" w:firstLine="0"/>
        <w:jc w:val="center"/>
        <w:rPr>
          <w:rFonts w:ascii="Times New Roman" w:hAnsi="Times New Roman"/>
          <w:b/>
          <w:sz w:val="80"/>
          <w:szCs w:val="80"/>
        </w:rPr>
      </w:pPr>
      <w:r>
        <w:rPr>
          <w:rFonts w:ascii="Times New Roman" w:hAnsi="Times New Roman" w:hint="eastAsia"/>
          <w:b/>
          <w:sz w:val="80"/>
          <w:szCs w:val="80"/>
        </w:rPr>
        <w:t>通辽海关</w:t>
      </w:r>
      <w:r>
        <w:rPr>
          <w:rFonts w:ascii="Times New Roman" w:hAnsi="Times New Roman"/>
          <w:b/>
          <w:sz w:val="80"/>
          <w:szCs w:val="80"/>
        </w:rPr>
        <w:t>202</w:t>
      </w:r>
      <w:r>
        <w:rPr>
          <w:rFonts w:ascii="Times New Roman" w:hAnsi="Times New Roman" w:hint="eastAsia"/>
          <w:b/>
          <w:sz w:val="80"/>
          <w:szCs w:val="80"/>
          <w:lang w:val="en-US" w:eastAsia="zh-CN"/>
        </w:rPr>
        <w:t>4</w:t>
      </w:r>
      <w:r>
        <w:rPr>
          <w:rFonts w:ascii="Times New Roman" w:hAnsi="Times New Roman" w:hint="eastAsia"/>
          <w:b/>
          <w:sz w:val="80"/>
          <w:szCs w:val="80"/>
        </w:rPr>
        <w:t>年</w:t>
      </w:r>
    </w:p>
    <w:p>
      <w:pPr>
        <w:ind w:left="0" w:firstLine="0"/>
        <w:jc w:val="center"/>
        <w:rPr>
          <w:rFonts w:ascii="Times New Roman" w:hAnsi="Times New Roman"/>
          <w:b/>
          <w:sz w:val="80"/>
          <w:szCs w:val="80"/>
        </w:rPr>
      </w:pPr>
      <w:r>
        <w:rPr>
          <w:rFonts w:ascii="Times New Roman" w:hAnsi="Times New Roman" w:hint="eastAsia"/>
          <w:b/>
          <w:sz w:val="80"/>
          <w:szCs w:val="80"/>
        </w:rPr>
        <w:t>部门</w:t>
      </w:r>
      <w:r>
        <w:rPr>
          <w:rFonts w:ascii="Times New Roman" w:hAnsi="Times New Roman"/>
          <w:b/>
          <w:sz w:val="80"/>
          <w:szCs w:val="80"/>
        </w:rPr>
        <w:t>决算</w:t>
      </w:r>
      <w:r>
        <w:rPr>
          <w:rFonts w:ascii="Times New Roman" w:hAnsi="Times New Roman" w:hint="eastAsia"/>
          <w:b/>
          <w:sz w:val="80"/>
          <w:szCs w:val="80"/>
        </w:rPr>
        <w:t>情况说明</w:t>
      </w:r>
    </w:p>
    <w:p>
      <w:pPr>
        <w:pStyle w:val="19"/>
        <w:spacing w:line="560" w:lineRule="exact"/>
        <w:ind w:left="0" w:firstLine="640"/>
        <w:rPr>
          <w:b/>
          <w:sz w:val="84"/>
          <w:szCs w:val="84"/>
        </w:rPr>
      </w:pPr>
      <w:r>
        <w:rPr>
          <w:b/>
          <w:sz w:val="84"/>
          <w:szCs w:val="84"/>
        </w:rPr>
        <w:t xml:space="preserve"> </w:t>
      </w:r>
    </w:p>
    <w:p>
      <w:pPr>
        <w:ind w:left="0" w:firstLine="640"/>
        <w:rPr>
          <w:rFonts w:ascii="Times New Roman" w:hAnsi="Times New Roman"/>
          <w:b/>
          <w:sz w:val="84"/>
          <w:szCs w:val="84"/>
        </w:rPr>
      </w:pPr>
      <w:r>
        <w:rPr>
          <w:rFonts w:ascii="Times New Roman" w:hAnsi="Times New Roman"/>
          <w:b/>
          <w:sz w:val="84"/>
          <w:szCs w:val="84"/>
        </w:rPr>
        <w:t xml:space="preserve"> </w:t>
      </w:r>
    </w:p>
    <w:p>
      <w:pPr>
        <w:ind w:left="0" w:firstLine="640"/>
        <w:rPr>
          <w:rFonts w:ascii="Times New Roman" w:hAnsi="Times New Roman"/>
          <w:b/>
          <w:sz w:val="84"/>
          <w:szCs w:val="84"/>
        </w:rPr>
      </w:pPr>
      <w:r>
        <w:rPr>
          <w:rFonts w:ascii="Times New Roman" w:hAnsi="Times New Roman"/>
          <w:b/>
          <w:sz w:val="84"/>
          <w:szCs w:val="84"/>
        </w:rPr>
        <w:t xml:space="preserve"> </w:t>
      </w:r>
    </w:p>
    <w:p>
      <w:pPr>
        <w:ind w:left="0" w:firstLine="640"/>
        <w:rPr>
          <w:rFonts w:ascii="Times New Roman" w:hAnsi="Times New Roman"/>
          <w:b/>
          <w:sz w:val="84"/>
          <w:szCs w:val="84"/>
        </w:rPr>
        <w:sectPr>
          <w:pgSz w:w="11906" w:h="16838"/>
          <w:pgMar w:top="1134" w:right="1134" w:bottom="1134" w:left="1134" w:header="851" w:footer="992" w:gutter="0"/>
          <w:docGrid w:type="lines" w:linePitch="312" w:charSpace="0"/>
        </w:sectPr>
      </w:pPr>
      <w:r>
        <w:rPr>
          <w:rFonts w:ascii="Times New Roman" w:hAnsi="Times New Roman"/>
          <w:b/>
          <w:sz w:val="84"/>
          <w:szCs w:val="84"/>
        </w:rPr>
        <w:t xml:space="preserve"> </w:t>
      </w:r>
    </w:p>
    <w:p>
      <w:pPr>
        <w:pStyle w:val="19"/>
        <w:spacing w:line="560" w:lineRule="exact"/>
        <w:ind w:left="0" w:firstLine="640"/>
        <w:rPr>
          <w:rFonts w:eastAsia="方正仿宋_GBK"/>
          <w:sz w:val="32"/>
          <w:szCs w:val="32"/>
        </w:rPr>
      </w:pPr>
      <w:r>
        <w:rPr>
          <w:rFonts w:eastAsia="方正黑体_GBK"/>
          <w:sz w:val="32"/>
          <w:szCs w:val="32"/>
        </w:rPr>
        <w:t>一、关于</w:t>
      </w:r>
      <w:r>
        <w:rPr>
          <w:rFonts w:eastAsia="方正黑体_GBK" w:hint="eastAsia"/>
          <w:sz w:val="32"/>
          <w:szCs w:val="32"/>
        </w:rPr>
        <w:t>通辽</w:t>
      </w:r>
      <w:r>
        <w:rPr>
          <w:rFonts w:eastAsia="方正黑体_GBK"/>
          <w:sz w:val="32"/>
          <w:szCs w:val="32"/>
        </w:rPr>
        <w:t>海关202</w:t>
      </w:r>
      <w:r>
        <w:rPr>
          <w:rFonts w:eastAsia="方正黑体_GBK" w:hint="eastAsia"/>
          <w:sz w:val="32"/>
          <w:szCs w:val="32"/>
          <w:lang w:val="en-US" w:eastAsia="zh-CN"/>
        </w:rPr>
        <w:t>4</w:t>
      </w:r>
      <w:r>
        <w:rPr>
          <w:rFonts w:eastAsia="方正黑体_GBK"/>
          <w:sz w:val="32"/>
          <w:szCs w:val="32"/>
        </w:rPr>
        <w:t>年收支预决算情况的总体说明</w:t>
      </w:r>
    </w:p>
    <w:p>
      <w:pPr>
        <w:pStyle w:val="19"/>
        <w:spacing w:line="560" w:lineRule="exact"/>
        <w:ind w:left="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通辽</w:t>
      </w:r>
      <w:r>
        <w:rPr>
          <w:rFonts w:eastAsia="方正仿宋_GBK"/>
          <w:sz w:val="32"/>
          <w:szCs w:val="32"/>
        </w:rPr>
        <w:t>海关所有收入和支出均纳入部门预算管理。收入包括：一般公共预算拨款收入、其他收入、上年结转；支出包括：一般公共服务支出、社会保障和就业支出、卫生健康支出、住房保障支出。</w:t>
      </w:r>
      <w:r>
        <w:rPr>
          <w:rFonts w:eastAsia="方正仿宋_GBK" w:hint="eastAsia"/>
          <w:sz w:val="32"/>
          <w:szCs w:val="32"/>
        </w:rPr>
        <w:t>通辽</w:t>
      </w:r>
      <w:r>
        <w:rPr>
          <w:rFonts w:eastAsia="方正仿宋_GBK"/>
          <w:sz w:val="32"/>
          <w:szCs w:val="32"/>
        </w:rPr>
        <w:t>海关202</w:t>
      </w:r>
      <w:r>
        <w:rPr>
          <w:rFonts w:eastAsia="方正仿宋_GBK" w:hint="eastAsia"/>
          <w:sz w:val="32"/>
          <w:szCs w:val="32"/>
          <w:lang w:val="en-US" w:eastAsia="zh-CN"/>
        </w:rPr>
        <w:t>4</w:t>
      </w:r>
      <w:r>
        <w:rPr>
          <w:rFonts w:eastAsia="方正仿宋_GBK"/>
          <w:sz w:val="32"/>
          <w:szCs w:val="32"/>
        </w:rPr>
        <w:t>年收支总预算</w:t>
      </w:r>
      <w:r>
        <w:rPr>
          <w:rFonts w:eastAsia="方正仿宋_GBK" w:hint="eastAsia"/>
          <w:sz w:val="32"/>
          <w:szCs w:val="32"/>
          <w:lang w:val="en-US" w:eastAsia="zh-CN"/>
        </w:rPr>
        <w:t>912.75</w:t>
      </w:r>
      <w:r>
        <w:rPr>
          <w:rFonts w:eastAsia="方正仿宋_GBK"/>
          <w:sz w:val="32"/>
          <w:szCs w:val="32"/>
        </w:rPr>
        <w:t>万元。</w:t>
      </w:r>
    </w:p>
    <w:p>
      <w:pPr>
        <w:pStyle w:val="19"/>
        <w:spacing w:line="560" w:lineRule="exact"/>
        <w:ind w:left="0" w:firstLine="640"/>
        <w:rPr>
          <w:rFonts w:eastAsia="方正黑体_GBK"/>
          <w:sz w:val="32"/>
          <w:szCs w:val="32"/>
        </w:rPr>
      </w:pPr>
      <w:r>
        <w:rPr>
          <w:rFonts w:eastAsia="方正黑体_GBK"/>
          <w:sz w:val="32"/>
          <w:szCs w:val="32"/>
        </w:rPr>
        <w:t>二、关于</w:t>
      </w:r>
      <w:r>
        <w:rPr>
          <w:rFonts w:eastAsia="方正黑体_GBK" w:hint="eastAsia"/>
          <w:sz w:val="32"/>
          <w:szCs w:val="32"/>
        </w:rPr>
        <w:t>通辽</w:t>
      </w:r>
      <w:r>
        <w:rPr>
          <w:rFonts w:eastAsia="方正黑体_GBK"/>
          <w:sz w:val="32"/>
          <w:szCs w:val="32"/>
        </w:rPr>
        <w:t>海关2023年收入决算情况说明</w:t>
      </w:r>
    </w:p>
    <w:p>
      <w:pPr>
        <w:pStyle w:val="19"/>
        <w:spacing w:line="560" w:lineRule="exact"/>
        <w:ind w:left="0" w:firstLine="640"/>
        <w:rPr>
          <w:rFonts w:eastAsia="方正黑体_GBK" w:hint="eastAsia"/>
          <w:sz w:val="32"/>
          <w:szCs w:val="32"/>
        </w:rPr>
      </w:pPr>
      <w:r>
        <w:rPr>
          <w:rFonts w:eastAsia="方正仿宋_GBK" w:hint="eastAsia"/>
          <w:sz w:val="32"/>
          <w:szCs w:val="32"/>
        </w:rPr>
        <w:t>通辽</w:t>
      </w:r>
      <w:r>
        <w:rPr>
          <w:rFonts w:eastAsia="方正仿宋_GBK"/>
          <w:sz w:val="32"/>
          <w:szCs w:val="32"/>
        </w:rPr>
        <w:t>海关202</w:t>
      </w:r>
      <w:r>
        <w:rPr>
          <w:rFonts w:eastAsia="方正仿宋_GBK" w:hint="eastAsia"/>
          <w:sz w:val="32"/>
          <w:szCs w:val="32"/>
          <w:lang w:val="en-US" w:eastAsia="zh-CN"/>
        </w:rPr>
        <w:t>4</w:t>
      </w:r>
      <w:r>
        <w:rPr>
          <w:rFonts w:eastAsia="方正仿宋_GBK"/>
          <w:sz w:val="32"/>
          <w:szCs w:val="32"/>
        </w:rPr>
        <w:t>年收入预算</w:t>
      </w:r>
      <w:r>
        <w:rPr>
          <w:rFonts w:eastAsia="方正仿宋_GBK" w:hint="eastAsia"/>
          <w:sz w:val="32"/>
          <w:szCs w:val="32"/>
          <w:lang w:val="en-US" w:eastAsia="zh-CN"/>
        </w:rPr>
        <w:t>912.75</w:t>
      </w:r>
      <w:r>
        <w:rPr>
          <w:rFonts w:eastAsia="方正仿宋_GBK"/>
          <w:sz w:val="32"/>
          <w:szCs w:val="32"/>
        </w:rPr>
        <w:t xml:space="preserve">万元，其中：上年结转 </w:t>
      </w:r>
      <w:r>
        <w:rPr>
          <w:rFonts w:eastAsia="方正仿宋_GBK" w:hint="eastAsia"/>
          <w:sz w:val="32"/>
          <w:szCs w:val="32"/>
          <w:lang w:val="en-US" w:eastAsia="zh-CN"/>
        </w:rPr>
        <w:t>111.01</w:t>
      </w:r>
      <w:r>
        <w:rPr>
          <w:rFonts w:eastAsia="方正仿宋_GBK"/>
          <w:sz w:val="32"/>
          <w:szCs w:val="32"/>
        </w:rPr>
        <w:t>万元，占</w:t>
      </w:r>
      <w:r>
        <w:rPr>
          <w:rFonts w:eastAsia="方正仿宋_GBK" w:hint="eastAsia"/>
          <w:sz w:val="32"/>
          <w:szCs w:val="32"/>
          <w:lang w:val="en-US" w:eastAsia="zh-CN"/>
        </w:rPr>
        <w:t>12.16</w:t>
      </w:r>
      <w:r>
        <w:rPr>
          <w:rFonts w:eastAsia="方正仿宋_GBK"/>
          <w:sz w:val="32"/>
          <w:szCs w:val="32"/>
        </w:rPr>
        <w:t xml:space="preserve">%；一般公共预算财政拨款  </w:t>
      </w:r>
      <w:r>
        <w:rPr>
          <w:rFonts w:eastAsia="方正仿宋_GBK" w:hint="eastAsia"/>
          <w:sz w:val="32"/>
          <w:szCs w:val="32"/>
          <w:lang w:val="en-US" w:eastAsia="zh-CN"/>
        </w:rPr>
        <w:t>727.62</w:t>
      </w:r>
      <w:r>
        <w:rPr>
          <w:rFonts w:eastAsia="方正仿宋_GBK"/>
          <w:sz w:val="32"/>
          <w:szCs w:val="32"/>
        </w:rPr>
        <w:t>万元，占</w:t>
      </w:r>
      <w:r>
        <w:rPr>
          <w:rFonts w:eastAsia="方正仿宋_GBK" w:hint="eastAsia"/>
          <w:sz w:val="32"/>
          <w:szCs w:val="32"/>
          <w:lang w:val="en-US" w:eastAsia="zh-CN"/>
        </w:rPr>
        <w:t>79.72</w:t>
      </w:r>
      <w:r>
        <w:rPr>
          <w:rFonts w:eastAsia="方正仿宋_GBK"/>
          <w:sz w:val="32"/>
          <w:szCs w:val="32"/>
        </w:rPr>
        <w:t>%；其他收入</w:t>
      </w:r>
      <w:r>
        <w:rPr>
          <w:rFonts w:eastAsia="方正仿宋_GBK" w:hint="eastAsia"/>
          <w:sz w:val="32"/>
          <w:szCs w:val="32"/>
          <w:lang w:val="en-US" w:eastAsia="zh-CN"/>
        </w:rPr>
        <w:t>74.12</w:t>
      </w:r>
      <w:r>
        <w:rPr>
          <w:rFonts w:eastAsia="方正仿宋_GBK"/>
          <w:sz w:val="32"/>
          <w:szCs w:val="32"/>
        </w:rPr>
        <w:t>万元，占</w:t>
      </w:r>
      <w:r>
        <w:rPr>
          <w:rFonts w:eastAsia="方正仿宋_GBK" w:hint="eastAsia"/>
          <w:sz w:val="32"/>
          <w:szCs w:val="32"/>
          <w:lang w:val="en-US" w:eastAsia="zh-CN"/>
        </w:rPr>
        <w:t>8.12</w:t>
      </w:r>
      <w:r>
        <w:rPr>
          <w:rFonts w:eastAsia="方正仿宋_GBK"/>
          <w:sz w:val="32"/>
          <w:szCs w:val="32"/>
        </w:rPr>
        <w:t>%。</w:t>
      </w:r>
    </w:p>
    <w:p>
      <w:pPr>
        <w:widowControl/>
        <w:ind w:left="0" w:firstLine="640"/>
        <w:jc w:val="left"/>
        <w:rPr>
          <w:rFonts w:ascii="Times New Roman" w:eastAsia="方正黑体_GBK" w:cs="Times New Roman" w:hAnsi="Times New Roman"/>
          <w:sz w:val="32"/>
          <w:szCs w:val="32"/>
        </w:rPr>
      </w:pPr>
      <w: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t" style="position:absolute;margin-left:32.95pt;margin-top:22.25pt;width:359.00006pt;height:216.0pt;z-index:15;mso-position-horizontal:absolute;mso-position-vertical:absolute;mso-wrap-distance-left:8.999863pt;mso-wrap-distance-right:8.999863pt;" o:ole="">
            <v:stroke color="#000000"/>
            <v:imagedata r:id="rId4" o:title="1170242721755589612997"/>
            <o:lock aspectratio="t"/>
            <w10:wrap type="square"/>
          </v:shape>
          <o:OLEObject Type="Embed" ProgID="Package" ShapeID="_x0000_i1" DrawAspect="Icon" ObjectID="_1393063351" r:id="rId5"/>
        </w:object>
      </w:r>
      <w:r>
        <w:rPr>
          <w:rFonts w:eastAsia="方正黑体_GBK"/>
          <w:sz w:val="32"/>
          <w:szCs w:val="32"/>
        </w:rPr>
        <w:br w:type="page"/>
      </w:r>
    </w:p>
    <w:p>
      <w:pPr>
        <w:pStyle w:val="19"/>
        <w:spacing w:line="560" w:lineRule="exact"/>
        <w:ind w:left="0" w:firstLine="640"/>
        <w:rPr>
          <w:rFonts w:eastAsia="方正仿宋_GBK"/>
          <w:sz w:val="32"/>
          <w:szCs w:val="32"/>
        </w:rPr>
      </w:pPr>
      <w:r>
        <w:rPr>
          <w:rFonts w:eastAsia="方正黑体_GBK" w:hint="eastAsia"/>
          <w:sz w:val="32"/>
          <w:szCs w:val="32"/>
        </w:rPr>
        <w:t>三、关于通辽海关</w:t>
      </w:r>
      <w:r>
        <w:rPr>
          <w:rFonts w:eastAsia="方正黑体_GBK"/>
          <w:sz w:val="32"/>
          <w:szCs w:val="32"/>
        </w:rPr>
        <w:t>202</w:t>
      </w:r>
      <w:r>
        <w:rPr>
          <w:rFonts w:eastAsia="方正黑体_GBK" w:hint="eastAsia"/>
          <w:sz w:val="32"/>
          <w:szCs w:val="32"/>
          <w:lang w:val="en-US" w:eastAsia="zh-CN"/>
        </w:rPr>
        <w:t>4</w:t>
      </w:r>
      <w:r>
        <w:rPr>
          <w:rFonts w:eastAsia="方正黑体_GBK" w:hint="eastAsia"/>
          <w:sz w:val="32"/>
          <w:szCs w:val="32"/>
        </w:rPr>
        <w:t>年支出</w:t>
      </w:r>
      <w:r>
        <w:rPr>
          <w:rFonts w:eastAsia="方正黑体_GBK"/>
          <w:sz w:val="32"/>
          <w:szCs w:val="32"/>
        </w:rPr>
        <w:t>决算</w:t>
      </w:r>
      <w:r>
        <w:rPr>
          <w:rFonts w:eastAsia="方正黑体_GBK" w:hint="eastAsia"/>
          <w:sz w:val="32"/>
          <w:szCs w:val="32"/>
        </w:rPr>
        <w:t>情况说明</w:t>
      </w:r>
    </w:p>
    <w:p>
      <w:pPr>
        <w:pStyle w:val="19"/>
        <w:spacing w:line="560" w:lineRule="exact"/>
        <w:ind w:left="0" w:firstLine="640"/>
        <w:rPr>
          <w:rFonts w:eastAsia="方正仿宋_GBK"/>
          <w:sz w:val="32"/>
          <w:szCs w:val="32"/>
        </w:rPr>
      </w:pPr>
      <w:r>
        <w:rPr>
          <w:rFonts w:eastAsia="方正仿宋_GBK" w:hint="eastAsia"/>
          <w:sz w:val="32"/>
          <w:szCs w:val="32"/>
        </w:rPr>
        <w:t>通辽海关</w:t>
      </w:r>
      <w:r>
        <w:rPr>
          <w:rFonts w:eastAsia="方正仿宋_GBK"/>
          <w:sz w:val="32"/>
          <w:szCs w:val="32"/>
        </w:rPr>
        <w:t>202</w:t>
      </w:r>
      <w:r>
        <w:rPr>
          <w:rFonts w:eastAsia="方正仿宋_GBK" w:hint="eastAsia"/>
          <w:sz w:val="32"/>
          <w:szCs w:val="32"/>
          <w:lang w:val="en-US" w:eastAsia="zh-CN"/>
        </w:rPr>
        <w:t>4</w:t>
      </w:r>
      <w:r>
        <w:rPr>
          <w:rFonts w:eastAsia="方正仿宋_GBK" w:hint="eastAsia"/>
          <w:sz w:val="32"/>
          <w:szCs w:val="32"/>
        </w:rPr>
        <w:t>年支出预算</w:t>
      </w:r>
      <w:r>
        <w:rPr>
          <w:rFonts w:eastAsia="方正仿宋_GBK" w:hint="eastAsia"/>
          <w:sz w:val="32"/>
          <w:szCs w:val="32"/>
          <w:lang w:val="en-US" w:eastAsia="zh-CN"/>
        </w:rPr>
        <w:t>771.22</w:t>
      </w:r>
      <w:r>
        <w:rPr>
          <w:rFonts w:eastAsia="方正仿宋_GBK" w:hint="eastAsia"/>
          <w:sz w:val="32"/>
          <w:szCs w:val="32"/>
        </w:rPr>
        <w:t>万元，其中：基本支出</w:t>
      </w:r>
      <w:r>
        <w:rPr>
          <w:rFonts w:eastAsia="方正仿宋_GBK" w:hint="eastAsia"/>
          <w:sz w:val="32"/>
          <w:szCs w:val="32"/>
          <w:lang w:val="en-US" w:eastAsia="zh-CN"/>
        </w:rPr>
        <w:t>713.82</w:t>
      </w:r>
      <w:r>
        <w:rPr>
          <w:rFonts w:eastAsia="方正仿宋_GBK" w:hint="eastAsia"/>
          <w:sz w:val="32"/>
          <w:szCs w:val="32"/>
        </w:rPr>
        <w:t>万元，占</w:t>
      </w:r>
      <w:r>
        <w:rPr>
          <w:rFonts w:eastAsia="方正仿宋_GBK"/>
          <w:sz w:val="32"/>
          <w:szCs w:val="32"/>
        </w:rPr>
        <w:t>9</w:t>
      </w:r>
      <w:r>
        <w:rPr>
          <w:rFonts w:eastAsia="方正仿宋_GBK" w:hint="eastAsia"/>
          <w:sz w:val="32"/>
          <w:szCs w:val="32"/>
          <w:lang w:val="en-US" w:eastAsia="zh-CN"/>
        </w:rPr>
        <w:t>2.56</w:t>
      </w:r>
      <w:r>
        <w:rPr>
          <w:rFonts w:eastAsia="方正仿宋_GBK"/>
          <w:sz w:val="32"/>
          <w:szCs w:val="32"/>
        </w:rPr>
        <w:t>%</w:t>
      </w:r>
      <w:r>
        <w:rPr>
          <w:rFonts w:eastAsia="方正仿宋_GBK" w:hint="eastAsia"/>
          <w:sz w:val="32"/>
          <w:szCs w:val="32"/>
        </w:rPr>
        <w:t>；项目支出</w:t>
      </w:r>
      <w:r>
        <w:rPr>
          <w:rFonts w:eastAsia="方正仿宋_GBK" w:hint="eastAsia"/>
          <w:sz w:val="32"/>
          <w:szCs w:val="32"/>
          <w:lang w:val="en-US" w:eastAsia="zh-CN"/>
        </w:rPr>
        <w:t>57.40</w:t>
      </w:r>
      <w:r>
        <w:rPr>
          <w:rFonts w:eastAsia="方正仿宋_GBK" w:hint="eastAsia"/>
          <w:sz w:val="32"/>
          <w:szCs w:val="32"/>
        </w:rPr>
        <w:t>万元，占</w:t>
      </w:r>
      <w:r>
        <w:rPr>
          <w:rFonts w:eastAsia="方正仿宋_GBK" w:hint="eastAsia"/>
          <w:sz w:val="32"/>
          <w:szCs w:val="32"/>
          <w:lang w:val="en-US" w:eastAsia="zh-CN"/>
        </w:rPr>
        <w:t>7.44</w:t>
      </w:r>
      <w:r>
        <w:rPr>
          <w:rFonts w:eastAsia="方正仿宋_GBK"/>
          <w:sz w:val="32"/>
          <w:szCs w:val="32"/>
        </w:rPr>
        <w:t>%</w:t>
      </w:r>
      <w:r>
        <w:rPr>
          <w:rFonts w:eastAsia="方正仿宋_GBK" w:hint="eastAsia"/>
          <w:sz w:val="32"/>
          <w:szCs w:val="32"/>
        </w:rPr>
        <w:t>。</w:t>
      </w:r>
    </w:p>
    <w:p>
      <w:pPr>
        <w:pStyle w:val="19"/>
        <w:spacing w:line="560" w:lineRule="exact"/>
        <w:ind w:left="0" w:firstLine="640"/>
        <w:rPr>
          <w:sz w:val="32"/>
          <w:szCs w:val="32"/>
        </w:rPr>
      </w:pPr>
      <w:r>
        <w:object>
          <v:shape id="_x0000_i2" type="#_x0000_t75" filled="f" stroked="t" wrapcoords="-33 -62 -33 21590 21569 21590 21569 -62 -33 -62" style="position:absolute;margin-left:36.95pt;margin-top:18.25pt;width:424.45pt;height:237.90001pt;z-index:16;mso-position-horizontal:absolute;mso-position-vertical:absolute;mso-wrap-distance-left:8.999863pt;mso-wrap-distance-right:8.999863pt;" o:ole="">
            <v:stroke color="#000000"/>
            <v:imagedata r:id="rId6" o:title="3399580501755589612999"/>
            <o:lock aspectratio="t"/>
            <w10:wrap type="tight"/>
          </v:shape>
          <o:OLEObject Type="Embed" ProgID="Package" ShapeID="_x0000_i2" DrawAspect="Icon" ObjectID="_1393063352" r:id="rId7"/>
        </w:object>
      </w: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hint="eastAsia"/>
          <w:sz w:val="32"/>
          <w:szCs w:val="32"/>
        </w:rPr>
      </w:pPr>
    </w:p>
    <w:p>
      <w:pPr>
        <w:pStyle w:val="19"/>
        <w:spacing w:line="560" w:lineRule="exact"/>
        <w:ind w:left="0" w:firstLine="640"/>
        <w:rPr>
          <w:rFonts w:eastAsia="方正黑体_GBK"/>
          <w:sz w:val="32"/>
          <w:szCs w:val="32"/>
        </w:rPr>
      </w:pPr>
      <w:r>
        <w:rPr>
          <w:rFonts w:eastAsia="方正黑体_GBK" w:hint="eastAsia"/>
          <w:sz w:val="32"/>
          <w:szCs w:val="32"/>
        </w:rPr>
        <w:t>四、关于通辽海关202</w:t>
      </w:r>
      <w:r>
        <w:rPr>
          <w:rFonts w:eastAsia="方正黑体_GBK" w:hint="eastAsia"/>
          <w:sz w:val="32"/>
          <w:szCs w:val="32"/>
          <w:lang w:val="en-US" w:eastAsia="zh-CN"/>
        </w:rPr>
        <w:t>4</w:t>
      </w:r>
      <w:r>
        <w:rPr>
          <w:rFonts w:eastAsia="方正黑体_GBK" w:hint="eastAsia"/>
          <w:sz w:val="32"/>
          <w:szCs w:val="32"/>
        </w:rPr>
        <w:t>年财政拨款收支</w:t>
      </w:r>
      <w:r>
        <w:rPr>
          <w:rFonts w:eastAsia="方正黑体_GBK"/>
          <w:sz w:val="32"/>
          <w:szCs w:val="32"/>
        </w:rPr>
        <w:t>决</w:t>
      </w:r>
      <w:r>
        <w:rPr>
          <w:rFonts w:eastAsia="方正黑体_GBK" w:hint="eastAsia"/>
          <w:sz w:val="32"/>
          <w:szCs w:val="32"/>
        </w:rPr>
        <w:t>算情况的总体说明</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海关20</w:t>
      </w:r>
      <w:r>
        <w:rPr>
          <w:rFonts w:ascii="Times New Roman" w:eastAsia="方正仿宋_GBK" w:hAnsi="Times New Roman"/>
          <w:sz w:val="32"/>
          <w:szCs w:val="32"/>
        </w:rPr>
        <w:t>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年财政拨款收支总预算</w:t>
      </w:r>
      <w:r>
        <w:rPr>
          <w:rFonts w:ascii="Times New Roman" w:eastAsia="方正仿宋_GBK" w:hAnsi="Times New Roman" w:hint="eastAsia"/>
          <w:sz w:val="32"/>
          <w:szCs w:val="32"/>
          <w:lang w:val="en-US" w:eastAsia="zh-CN"/>
        </w:rPr>
        <w:t>779.58</w:t>
      </w:r>
      <w:r>
        <w:rPr>
          <w:rFonts w:ascii="Times New Roman" w:eastAsia="方正仿宋_GBK" w:hAnsi="Times New Roman" w:hint="eastAsia"/>
          <w:sz w:val="32"/>
          <w:szCs w:val="32"/>
        </w:rPr>
        <w:t>万元。收入全部为一般公共预算拨款，无政府性基金预算拨款和</w:t>
      </w:r>
      <w:r>
        <w:rPr>
          <w:rFonts w:ascii="Times New Roman" w:eastAsia="方正仿宋_GBK" w:hAnsi="Times New Roman"/>
          <w:sz w:val="32"/>
          <w:szCs w:val="32"/>
        </w:rPr>
        <w:t>国有资本经营预算</w:t>
      </w:r>
      <w:r>
        <w:rPr>
          <w:rFonts w:ascii="Times New Roman" w:eastAsia="方正仿宋_GBK" w:hAnsi="Times New Roman" w:hint="eastAsia"/>
          <w:sz w:val="32"/>
          <w:szCs w:val="32"/>
        </w:rPr>
        <w:t>拨款。收入包括：一般公共预算当年财政拨款收入</w:t>
      </w:r>
      <w:r>
        <w:rPr>
          <w:rFonts w:ascii="Times New Roman" w:eastAsia="方正仿宋_GBK" w:hAnsi="Times New Roman" w:hint="eastAsia"/>
          <w:sz w:val="32"/>
          <w:szCs w:val="32"/>
          <w:lang w:val="en-US" w:eastAsia="zh-CN"/>
        </w:rPr>
        <w:t>727.62</w:t>
      </w:r>
      <w:r>
        <w:rPr>
          <w:rFonts w:ascii="Times New Roman" w:eastAsia="方正仿宋_GBK" w:hAnsi="Times New Roman" w:hint="eastAsia"/>
          <w:sz w:val="32"/>
          <w:szCs w:val="32"/>
        </w:rPr>
        <w:t>万元、上年结转</w:t>
      </w:r>
      <w:r>
        <w:rPr>
          <w:rFonts w:ascii="Times New Roman" w:eastAsia="方正仿宋_GBK" w:hAnsi="Times New Roman" w:hint="eastAsia"/>
          <w:sz w:val="32"/>
          <w:szCs w:val="32"/>
          <w:lang w:val="en-US" w:eastAsia="zh-CN"/>
        </w:rPr>
        <w:t>51.96</w:t>
      </w:r>
      <w:r>
        <w:rPr>
          <w:rFonts w:ascii="Times New Roman" w:eastAsia="方正仿宋_GBK" w:hAnsi="Times New Roman" w:hint="eastAsia"/>
          <w:sz w:val="32"/>
          <w:szCs w:val="32"/>
        </w:rPr>
        <w:t>万元。支出包括：一般公共服务支出</w:t>
      </w:r>
      <w:r>
        <w:rPr>
          <w:rFonts w:ascii="Times New Roman" w:eastAsia="方正仿宋_GBK" w:hAnsi="Times New Roman" w:hint="eastAsia"/>
          <w:sz w:val="32"/>
          <w:szCs w:val="32"/>
          <w:lang w:val="en-US" w:eastAsia="zh-CN"/>
        </w:rPr>
        <w:t>569.70</w:t>
      </w:r>
      <w:r>
        <w:rPr>
          <w:rFonts w:ascii="Times New Roman" w:eastAsia="方正仿宋_GBK" w:hAnsi="Times New Roman" w:hint="eastAsia"/>
          <w:sz w:val="32"/>
          <w:szCs w:val="32"/>
        </w:rPr>
        <w:t>万元、社会保障和就业支出</w:t>
      </w:r>
      <w:r>
        <w:rPr>
          <w:rFonts w:ascii="Times New Roman" w:eastAsia="方正仿宋_GBK" w:hAnsi="Times New Roman" w:hint="eastAsia"/>
          <w:sz w:val="32"/>
          <w:szCs w:val="32"/>
          <w:lang w:val="en-US" w:eastAsia="zh-CN"/>
        </w:rPr>
        <w:t>66.05</w:t>
      </w:r>
      <w:r>
        <w:rPr>
          <w:rFonts w:ascii="Times New Roman" w:eastAsia="方正仿宋_GBK" w:hAnsi="Times New Roman" w:hint="eastAsia"/>
          <w:sz w:val="32"/>
          <w:szCs w:val="32"/>
        </w:rPr>
        <w:t>万元、卫生健康支出</w:t>
      </w:r>
      <w:r>
        <w:rPr>
          <w:rFonts w:ascii="Times New Roman" w:eastAsia="方正仿宋_GBK" w:hAnsi="Times New Roman" w:hint="eastAsia"/>
          <w:sz w:val="32"/>
          <w:szCs w:val="32"/>
          <w:lang w:val="en-US" w:eastAsia="zh-CN"/>
        </w:rPr>
        <w:t>23.76</w:t>
      </w:r>
      <w:r>
        <w:rPr>
          <w:rFonts w:ascii="Times New Roman" w:eastAsia="方正仿宋_GBK" w:hAnsi="Times New Roman" w:hint="eastAsia"/>
          <w:sz w:val="32"/>
          <w:szCs w:val="32"/>
        </w:rPr>
        <w:t>万元、住房保障支出</w:t>
      </w:r>
      <w:r>
        <w:rPr>
          <w:rFonts w:ascii="Times New Roman" w:eastAsia="方正仿宋_GBK" w:hAnsi="Times New Roman" w:hint="eastAsia"/>
          <w:sz w:val="32"/>
          <w:szCs w:val="32"/>
          <w:lang w:val="en-US" w:eastAsia="zh-CN"/>
        </w:rPr>
        <w:t>66.54</w:t>
      </w:r>
      <w:r>
        <w:rPr>
          <w:rFonts w:ascii="Times New Roman" w:eastAsia="方正仿宋_GBK" w:hAnsi="Times New Roman" w:hint="eastAsia"/>
          <w:sz w:val="32"/>
          <w:szCs w:val="32"/>
        </w:rPr>
        <w:t>万元。</w:t>
      </w:r>
    </w:p>
    <w:p>
      <w:pPr>
        <w:spacing w:line="560" w:lineRule="exact"/>
        <w:ind w:left="0" w:firstLine="640"/>
        <w:rPr>
          <w:rFonts w:ascii="Times New Roman" w:eastAsia="方正黑体_GBK" w:hAnsi="Times New Roman"/>
          <w:sz w:val="32"/>
          <w:szCs w:val="32"/>
        </w:rPr>
      </w:pPr>
      <w:r>
        <w:rPr>
          <w:rFonts w:ascii="Times New Roman" w:eastAsia="方正黑体_GBK" w:hAnsi="Times New Roman" w:hint="eastAsia"/>
          <w:sz w:val="32"/>
          <w:szCs w:val="32"/>
        </w:rPr>
        <w:t>五、关于通辽海关202</w:t>
      </w:r>
      <w:r>
        <w:rPr>
          <w:rFonts w:ascii="Times New Roman" w:eastAsia="方正黑体_GBK" w:hAnsi="Times New Roman" w:hint="eastAsia"/>
          <w:sz w:val="32"/>
          <w:szCs w:val="32"/>
          <w:lang w:val="en-US" w:eastAsia="zh-CN"/>
        </w:rPr>
        <w:t>4</w:t>
      </w:r>
      <w:r>
        <w:rPr>
          <w:rFonts w:ascii="Times New Roman" w:eastAsia="方正黑体_GBK" w:hAnsi="Times New Roman" w:hint="eastAsia"/>
          <w:sz w:val="32"/>
          <w:szCs w:val="32"/>
        </w:rPr>
        <w:t>年一般公共预算当年财政拨款情况说明</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（一）一般公共预算当年财政拨款规模变化情况。</w:t>
      </w:r>
    </w:p>
    <w:p>
      <w:pPr>
        <w:spacing w:line="560" w:lineRule="exact"/>
        <w:ind w:left="0" w:firstLine="640"/>
        <w:rPr>
          <w:rFonts w:ascii="Times New Roman" w:hAnsi="Times New Roman"/>
          <w:szCs w:val="21"/>
        </w:rPr>
      </w:pPr>
      <w:r>
        <w:rPr>
          <w:rFonts w:ascii="Times New Roman" w:eastAsia="方正仿宋_GBK" w:hAnsi="Times New Roman" w:hint="eastAsia"/>
          <w:sz w:val="32"/>
          <w:szCs w:val="32"/>
        </w:rPr>
        <w:t>通辽海关202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年一般公共预算当年财政拨款预算</w:t>
      </w:r>
      <w:r>
        <w:rPr>
          <w:rFonts w:ascii="Times New Roman" w:eastAsia="方正仿宋_GBK" w:hAnsi="Times New Roman" w:hint="eastAsia"/>
          <w:sz w:val="32"/>
          <w:szCs w:val="32"/>
          <w:lang w:val="en-US" w:eastAsia="zh-CN"/>
        </w:rPr>
        <w:t>727.62</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166.77</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下降</w:t>
      </w:r>
      <w:r>
        <w:rPr>
          <w:rFonts w:ascii="Times New Roman" w:eastAsia="方正仿宋_GBK" w:hAnsi="Times New Roman" w:hint="eastAsia"/>
          <w:sz w:val="32"/>
          <w:szCs w:val="32"/>
          <w:lang w:val="en-US" w:eastAsia="zh-CN"/>
        </w:rPr>
        <w:t>18.65</w:t>
      </w: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年，按照党中央、国务院关于</w:t>
      </w:r>
      <w:r>
        <w:rPr>
          <w:rFonts w:ascii="Times New Roman" w:eastAsia="方正仿宋_GBK" w:hAnsi="Times New Roman" w:hint="eastAsia"/>
          <w:sz w:val="32"/>
          <w:szCs w:val="32"/>
          <w:lang w:eastAsia="zh-CN"/>
        </w:rPr>
        <w:t>进一步落实</w:t>
      </w:r>
      <w:r>
        <w:rPr>
          <w:rFonts w:ascii="Times New Roman" w:eastAsia="方正仿宋_GBK" w:hAnsi="Times New Roman" w:hint="eastAsia"/>
          <w:sz w:val="32"/>
          <w:szCs w:val="32"/>
        </w:rPr>
        <w:t>过紧日子的有关要求，全面加强</w:t>
      </w:r>
      <w:r>
        <w:rPr>
          <w:rFonts w:ascii="Times New Roman" w:eastAsia="方正仿宋_GBK" w:hAnsi="Times New Roman"/>
          <w:sz w:val="32"/>
          <w:szCs w:val="32"/>
        </w:rPr>
        <w:t>各类资源统筹，优化支出结构，坚持钱要花到要</w:t>
      </w:r>
      <w:r>
        <w:rPr>
          <w:rFonts w:ascii="Times New Roman" w:eastAsia="方正仿宋_GBK" w:hAnsi="Times New Roman" w:hint="eastAsia"/>
          <w:sz w:val="32"/>
          <w:szCs w:val="32"/>
        </w:rPr>
        <w:t>处</w:t>
      </w:r>
      <w:r>
        <w:rPr>
          <w:rFonts w:ascii="Times New Roman" w:eastAsia="方正仿宋_GBK" w:hAnsi="Times New Roman"/>
          <w:sz w:val="32"/>
          <w:szCs w:val="32"/>
        </w:rPr>
        <w:t>，坚持优先保障民生、</w:t>
      </w:r>
      <w:r>
        <w:rPr>
          <w:rFonts w:ascii="Times New Roman" w:eastAsia="方正仿宋_GBK" w:hAnsi="Times New Roman" w:hint="eastAsia"/>
          <w:sz w:val="32"/>
          <w:szCs w:val="32"/>
        </w:rPr>
        <w:t>重点保障刚性运转</w:t>
      </w:r>
      <w:r>
        <w:rPr>
          <w:rFonts w:ascii="Times New Roman" w:eastAsia="方正仿宋_GBK" w:hAnsi="Times New Roman"/>
          <w:sz w:val="32"/>
          <w:szCs w:val="32"/>
        </w:rPr>
        <w:t>，精准保障海关改革发展。</w:t>
      </w:r>
      <w:r>
        <w:rPr>
          <w:rFonts w:ascii="Times New Roman" w:eastAsia="方正仿宋_GBK" w:hAnsi="Times New Roman" w:hint="eastAsia"/>
          <w:sz w:val="32"/>
          <w:szCs w:val="32"/>
        </w:rPr>
        <w:t>大力压减</w:t>
      </w:r>
      <w:r>
        <w:rPr>
          <w:rFonts w:ascii="Times New Roman" w:eastAsia="方正仿宋_GBK" w:hAnsi="Times New Roman"/>
          <w:sz w:val="32"/>
          <w:szCs w:val="32"/>
        </w:rPr>
        <w:t>一般性支出，</w:t>
      </w:r>
      <w:r>
        <w:rPr>
          <w:rFonts w:ascii="Times New Roman" w:eastAsia="方正仿宋_GBK" w:hAnsi="Times New Roman" w:hint="eastAsia"/>
          <w:sz w:val="32"/>
          <w:szCs w:val="32"/>
        </w:rPr>
        <w:t>重点压减非急需非刚性支出，同时合理保障了机关运维、海关关务、检验检疫等必要支出需求，体现在有关支出科目中。</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（二）一般公共预算当年财政拨款结构情况。</w:t>
      </w:r>
    </w:p>
    <w:p>
      <w:pPr>
        <w:spacing w:line="560" w:lineRule="exact"/>
        <w:ind w:left="0" w:firstLine="640"/>
        <w:rPr>
          <w:rFonts w:ascii="Times New Roman" w:eastAsia="方正仿宋_GBK" w:hAnsi="Times New Roman" w:hint="eastAsia"/>
          <w:sz w:val="32"/>
          <w:szCs w:val="32"/>
        </w:rPr>
      </w:pP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年部门预算中，一般公共预算当年财政拨款用于以下方面：一般公共服务（类）支出</w:t>
      </w:r>
      <w:r>
        <w:rPr>
          <w:rFonts w:ascii="Times New Roman" w:eastAsia="方正仿宋_GBK" w:hAnsi="Times New Roman" w:hint="eastAsia"/>
          <w:sz w:val="32"/>
          <w:szCs w:val="32"/>
          <w:lang w:val="en-US" w:eastAsia="zh-CN"/>
        </w:rPr>
        <w:t>569.70</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78.47</w:t>
      </w:r>
      <w:r>
        <w:rPr>
          <w:rFonts w:ascii="Times New Roman" w:eastAsia="方正仿宋_GBK" w:hAnsi="Times New Roman" w:hint="eastAsia"/>
          <w:sz w:val="32"/>
          <w:szCs w:val="32"/>
        </w:rPr>
        <w:t>%；社会保障和就业（类）支出</w:t>
      </w:r>
      <w:r>
        <w:rPr>
          <w:rFonts w:ascii="Times New Roman" w:eastAsia="方正仿宋_GBK" w:hAnsi="Times New Roman" w:hint="eastAsia"/>
          <w:sz w:val="32"/>
          <w:szCs w:val="32"/>
          <w:lang w:val="en-US" w:eastAsia="zh-CN"/>
        </w:rPr>
        <w:t>66.05</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9.10</w:t>
      </w:r>
      <w:r>
        <w:rPr>
          <w:rFonts w:ascii="Times New Roman" w:eastAsia="方正仿宋_GBK" w:hAnsi="Times New Roman" w:hint="eastAsia"/>
          <w:sz w:val="32"/>
          <w:szCs w:val="32"/>
        </w:rPr>
        <w:t>%；卫生健康（类）支出</w:t>
      </w:r>
      <w:r>
        <w:rPr>
          <w:rFonts w:ascii="Times New Roman" w:eastAsia="方正仿宋_GBK" w:hAnsi="Times New Roman" w:hint="eastAsia"/>
          <w:sz w:val="32"/>
          <w:szCs w:val="32"/>
          <w:lang w:val="en-US" w:eastAsia="zh-CN"/>
        </w:rPr>
        <w:t>23.76</w:t>
      </w:r>
      <w:r>
        <w:rPr>
          <w:rFonts w:ascii="Times New Roman" w:eastAsia="方正仿宋_GBK" w:hAnsi="Times New Roman" w:hint="eastAsia"/>
          <w:sz w:val="32"/>
          <w:szCs w:val="32"/>
        </w:rPr>
        <w:t>万元，占</w:t>
      </w:r>
      <w:r>
        <w:rPr>
          <w:rFonts w:ascii="Times New Roman" w:eastAsia="方正仿宋_GBK" w:hAnsi="Times New Roman"/>
          <w:sz w:val="32"/>
          <w:szCs w:val="32"/>
        </w:rPr>
        <w:t>3.</w:t>
      </w:r>
      <w:r>
        <w:rPr>
          <w:rFonts w:ascii="Times New Roman" w:eastAsia="方正仿宋_GBK" w:hAnsi="Times New Roman" w:hint="eastAsia"/>
          <w:sz w:val="32"/>
          <w:szCs w:val="32"/>
          <w:lang w:val="en-US" w:eastAsia="zh-CN"/>
        </w:rPr>
        <w:t>27</w:t>
      </w:r>
      <w:r>
        <w:rPr>
          <w:rFonts w:ascii="Times New Roman" w:eastAsia="方正仿宋_GBK" w:hAnsi="Times New Roman" w:hint="eastAsia"/>
          <w:sz w:val="32"/>
          <w:szCs w:val="32"/>
        </w:rPr>
        <w:t>%；住房保障（类）支出</w:t>
      </w:r>
      <w:r>
        <w:rPr>
          <w:rFonts w:ascii="Times New Roman" w:eastAsia="方正仿宋_GBK" w:hAnsi="Times New Roman" w:hint="eastAsia"/>
          <w:sz w:val="32"/>
          <w:szCs w:val="32"/>
          <w:lang w:val="en-US" w:eastAsia="zh-CN"/>
        </w:rPr>
        <w:t>66.54</w:t>
      </w:r>
      <w:r>
        <w:rPr>
          <w:rFonts w:ascii="Times New Roman" w:eastAsia="方正仿宋_GBK" w:hAnsi="Times New Roman" w:hint="eastAsia"/>
          <w:sz w:val="32"/>
          <w:szCs w:val="32"/>
        </w:rPr>
        <w:t>万元，占</w:t>
      </w:r>
      <w:r>
        <w:rPr>
          <w:rFonts w:ascii="Times New Roman" w:eastAsia="方正仿宋_GBK" w:hAnsi="Times New Roman" w:hint="eastAsia"/>
          <w:sz w:val="32"/>
          <w:szCs w:val="32"/>
          <w:lang w:val="en-US" w:eastAsia="zh-CN"/>
        </w:rPr>
        <w:t>9.16</w:t>
      </w:r>
      <w:r>
        <w:rPr>
          <w:rFonts w:ascii="Times New Roman" w:eastAsia="方正仿宋_GBK" w:hAnsi="Times New Roman" w:hint="eastAsia"/>
          <w:sz w:val="32"/>
          <w:szCs w:val="32"/>
        </w:rPr>
        <w:t>%。</w:t>
      </w:r>
    </w:p>
    <w:p>
      <w:pPr>
        <w:spacing w:line="560" w:lineRule="exact"/>
        <w:ind w:left="0" w:firstLine="0"/>
        <w:rPr>
          <w:rFonts w:ascii="Times New Roman" w:eastAsia="方正仿宋_GBK" w:hAnsi="Times New Roman" w:hint="eastAsia"/>
          <w:sz w:val="32"/>
          <w:szCs w:val="32"/>
        </w:rPr>
      </w:pPr>
      <w:r>
        <w:object>
          <v:shape id="_x0000_i3" type="#_x0000_t75" filled="f" stroked="t" wrapcoords="-4 -40 -4 21598 21589 21598 21589 -40 -4 -40" style="position:absolute;margin-left:31.149998pt;margin-top:8.75pt;width:447.10004pt;height:242.55pt;z-index:17;mso-position-horizontal:absolute;mso-position-vertical:absolute;mso-wrap-distance-left:8.999863pt;mso-wrap-distance-right:8.999863pt;" o:ole="">
            <v:stroke color="#000000"/>
            <v:imagedata r:id="rId8" o:title="7471028911755589613001"/>
            <o:lock aspectratio="t"/>
            <w10:wrap type="tight"/>
          </v:shape>
          <o:OLEObject Type="Embed" ProgID="Package" ShapeID="_x0000_i3" DrawAspect="Icon" ObjectID="_1393063353" r:id="rId9"/>
        </w:object>
      </w:r>
    </w:p>
    <w:p>
      <w:pPr>
        <w:spacing w:line="560" w:lineRule="exact"/>
        <w:ind w:left="0" w:firstLine="640"/>
        <w:rPr>
          <w:rFonts w:ascii="Times New Roman" w:eastAsia="方正楷体_GBK" w:hAnsi="Times New Roman"/>
          <w:b/>
          <w:bCs/>
          <w:sz w:val="32"/>
          <w:szCs w:val="32"/>
        </w:rPr>
      </w:pPr>
      <w:r>
        <w:rPr>
          <w:rFonts w:ascii="Times New Roman" w:eastAsia="方正楷体_GBK" w:hAnsi="Times New Roman" w:hint="eastAsia"/>
          <w:b/>
          <w:bCs/>
          <w:sz w:val="32"/>
          <w:szCs w:val="32"/>
        </w:rPr>
        <w:t>（三）一般公共预算当年财政拨款具体使用情况。</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1．一般公共服务支出（类）海关事务（款）202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569.70</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sz w:val="32"/>
          <w:szCs w:val="32"/>
          <w:lang w:val="en-US" w:eastAsia="zh-CN"/>
        </w:rPr>
        <w:t>260.56</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下降</w:t>
      </w:r>
      <w:r>
        <w:rPr>
          <w:rFonts w:ascii="Times New Roman" w:eastAsia="方正仿宋_GBK" w:hAnsi="Times New Roman"/>
          <w:sz w:val="32"/>
          <w:szCs w:val="32"/>
          <w:lang w:val="en-US" w:eastAsia="zh-CN"/>
        </w:rPr>
        <w:t>31.38</w:t>
      </w:r>
      <w:r>
        <w:rPr>
          <w:rFonts w:ascii="Times New Roman" w:eastAsia="方正仿宋_GBK" w:hAnsi="Times New Roman" w:hint="eastAsia"/>
          <w:sz w:val="32"/>
          <w:szCs w:val="32"/>
        </w:rPr>
        <w:t>%，其中：</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（1）行政运行（项）202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512.30</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lang w:val="en-US" w:eastAsia="zh-CN"/>
        </w:rPr>
        <w:t>271.26</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下降</w:t>
      </w:r>
      <w:r>
        <w:rPr>
          <w:rFonts w:ascii="Times New Roman" w:eastAsia="方正仿宋_GBK" w:hAnsi="Times New Roman"/>
          <w:sz w:val="32"/>
          <w:szCs w:val="32"/>
          <w:lang w:val="en-US" w:eastAsia="zh-CN"/>
        </w:rPr>
        <w:t>34.61</w:t>
      </w:r>
      <w:r>
        <w:rPr>
          <w:rFonts w:ascii="Times New Roman" w:eastAsia="方正仿宋_GBK" w:hAnsi="Times New Roman" w:hint="eastAsia"/>
          <w:sz w:val="32"/>
          <w:szCs w:val="32"/>
        </w:rPr>
        <w:t>%。主要是</w:t>
      </w:r>
      <w:r>
        <w:rPr>
          <w:rFonts w:ascii="Times New Roman" w:eastAsia="方正仿宋_GBK" w:hAnsi="Times New Roman" w:hint="eastAsia"/>
          <w:sz w:val="32"/>
          <w:szCs w:val="32"/>
          <w:lang w:eastAsia="zh-CN"/>
        </w:rPr>
        <w:t>进一步贯彻落实过紧日子要求，压缩公用经费开支</w:t>
      </w:r>
      <w:r>
        <w:rPr>
          <w:rFonts w:ascii="Times New Roman" w:eastAsia="方正仿宋_GBK" w:hAnsi="Times New Roman"/>
          <w:sz w:val="32"/>
          <w:szCs w:val="32"/>
          <w:lang w:eastAsia="zh-CN"/>
        </w:rPr>
        <w:t>，较2023年减少办公楼维修定向项目</w:t>
      </w:r>
      <w:r>
        <w:rPr>
          <w:rFonts w:ascii="Times New Roman" w:eastAsia="方正仿宋_GBK" w:hAnsi="Times New Roman" w:hint="eastAsia"/>
          <w:sz w:val="32"/>
          <w:szCs w:val="32"/>
        </w:rPr>
        <w:t>。</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）海关关务（项）202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55.40</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年执行数增加</w:t>
      </w:r>
      <w:r>
        <w:rPr>
          <w:rFonts w:ascii="Times New Roman" w:eastAsia="方正仿宋_GBK" w:hAnsi="Times New Roman" w:hint="eastAsia"/>
          <w:sz w:val="32"/>
          <w:szCs w:val="32"/>
          <w:lang w:val="en-US" w:eastAsia="zh-CN"/>
        </w:rPr>
        <w:t>29</w:t>
      </w:r>
      <w:r>
        <w:rPr>
          <w:rFonts w:ascii="Times New Roman" w:eastAsia="方正仿宋_GBK" w:hAnsi="Times New Roman" w:hint="eastAsia"/>
          <w:sz w:val="32"/>
          <w:szCs w:val="32"/>
        </w:rPr>
        <w:t>万元，增长</w:t>
      </w:r>
      <w:r>
        <w:rPr>
          <w:rFonts w:ascii="Times New Roman" w:eastAsia="方正仿宋_GBK" w:hAnsi="Times New Roman" w:hint="eastAsia"/>
          <w:sz w:val="32"/>
          <w:szCs w:val="32"/>
          <w:lang w:val="en-US" w:eastAsia="zh-CN"/>
        </w:rPr>
        <w:t>109.85</w:t>
      </w:r>
      <w:r>
        <w:rPr>
          <w:rFonts w:ascii="Times New Roman" w:eastAsia="方正仿宋_GBK" w:hAnsi="Times New Roman" w:hint="eastAsia"/>
          <w:sz w:val="32"/>
          <w:szCs w:val="32"/>
        </w:rPr>
        <w:t>%。主要是海关业务保障支出增加。</w:t>
      </w:r>
    </w:p>
    <w:p>
      <w:pPr>
        <w:spacing w:line="560" w:lineRule="exact"/>
        <w:ind w:left="0" w:firstLine="640"/>
        <w:rPr>
          <w:rFonts w:ascii="Times New Roman" w:hAnsi="Times New Roman" w:hint="eastAsia"/>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）检验检疫（项）202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sz w:val="32"/>
          <w:szCs w:val="32"/>
        </w:rPr>
        <w:t>2.00</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与</w:t>
      </w: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持平</w:t>
      </w:r>
      <w:r>
        <w:rPr>
          <w:rFonts w:ascii="Times New Roman" w:eastAsia="方正仿宋_GBK" w:hAnsi="Times New Roman" w:hint="eastAsia"/>
          <w:sz w:val="32"/>
          <w:szCs w:val="32"/>
        </w:rPr>
        <w:t>。</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sz w:val="32"/>
          <w:szCs w:val="32"/>
        </w:rPr>
        <w:t>2</w:t>
      </w:r>
      <w:r>
        <w:rPr>
          <w:rFonts w:ascii="Times New Roman" w:eastAsia="方正仿宋_GBK" w:hAnsi="Times New Roman" w:hint="eastAsia"/>
          <w:sz w:val="32"/>
          <w:szCs w:val="32"/>
        </w:rPr>
        <w:t>．社会保障和就业支出（类）行政事业单位养老支出（款）202年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66.05</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sz w:val="32"/>
          <w:szCs w:val="32"/>
          <w:lang w:eastAsia="zh-CN"/>
        </w:rPr>
        <w:t>增加3.60</w:t>
      </w:r>
      <w:r>
        <w:rPr>
          <w:rFonts w:ascii="Times New Roman" w:eastAsia="方正仿宋_GBK" w:hAnsi="Times New Roman" w:hint="eastAsia"/>
          <w:sz w:val="32"/>
          <w:szCs w:val="32"/>
        </w:rPr>
        <w:t>万元，</w:t>
      </w:r>
      <w:r>
        <w:rPr>
          <w:rFonts w:ascii="Times New Roman" w:eastAsia="方正仿宋_GBK" w:hAnsi="Times New Roman"/>
          <w:sz w:val="32"/>
          <w:szCs w:val="32"/>
          <w:lang w:eastAsia="zh-CN"/>
        </w:rPr>
        <w:t>增长5.76</w:t>
      </w:r>
      <w:r>
        <w:rPr>
          <w:rFonts w:ascii="Times New Roman" w:eastAsia="方正仿宋_GBK" w:hAnsi="Times New Roman" w:hint="eastAsia"/>
          <w:sz w:val="32"/>
          <w:szCs w:val="32"/>
        </w:rPr>
        <w:t>%。其中：</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（1）行政单位离退休（项）202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sz w:val="32"/>
          <w:szCs w:val="32"/>
        </w:rPr>
        <w:t>0.50</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与</w:t>
      </w: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年执行数持平。</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（2）机关事业单位基本养老保险缴费支出（项）202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43.70</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2.40</w:t>
      </w:r>
      <w:r>
        <w:rPr>
          <w:rFonts w:ascii="Times New Roman" w:eastAsia="方正仿宋_GBK" w:hAnsi="Times New Roman" w:hint="eastAsia"/>
          <w:sz w:val="32"/>
          <w:szCs w:val="32"/>
        </w:rPr>
        <w:t>万元，增长</w:t>
      </w:r>
      <w:r>
        <w:rPr>
          <w:rFonts w:ascii="Times New Roman" w:eastAsia="方正仿宋_GBK" w:hAnsi="Times New Roman"/>
          <w:sz w:val="32"/>
          <w:szCs w:val="32"/>
        </w:rPr>
        <w:t>5.81</w:t>
      </w:r>
      <w:r>
        <w:rPr>
          <w:rFonts w:ascii="Times New Roman" w:eastAsia="方正仿宋_GBK" w:hAnsi="Times New Roman" w:hint="eastAsia"/>
          <w:sz w:val="32"/>
          <w:szCs w:val="32"/>
        </w:rPr>
        <w:t>%。主要是</w:t>
      </w:r>
      <w:r>
        <w:rPr>
          <w:rFonts w:ascii="Times New Roman" w:eastAsia="方正仿宋_GBK" w:hAnsi="Times New Roman"/>
          <w:sz w:val="32"/>
          <w:szCs w:val="32"/>
        </w:rPr>
        <w:t>上级部门养老保险清算完成，补缴调转人员基本养老保险</w:t>
      </w:r>
      <w:r>
        <w:rPr>
          <w:rFonts w:ascii="Times New Roman" w:eastAsia="方正仿宋_GBK" w:hAnsi="Times New Roman" w:hint="eastAsia"/>
          <w:sz w:val="32"/>
          <w:szCs w:val="32"/>
        </w:rPr>
        <w:t>。</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3</w:t>
      </w:r>
      <w:r>
        <w:rPr>
          <w:rFonts w:ascii="Times New Roman" w:eastAsia="方正仿宋_GBK" w:hAnsi="Times New Roman" w:hint="eastAsia"/>
          <w:sz w:val="32"/>
          <w:szCs w:val="32"/>
        </w:rPr>
        <w:t>）机关事业单位职业年金缴费支出（项）202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21.85</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年执行数增加</w:t>
      </w:r>
      <w:r>
        <w:rPr>
          <w:rFonts w:ascii="Times New Roman" w:eastAsia="方正仿宋_GBK" w:hAnsi="Times New Roman"/>
          <w:sz w:val="32"/>
          <w:szCs w:val="32"/>
        </w:rPr>
        <w:t>1.20</w:t>
      </w:r>
      <w:r>
        <w:rPr>
          <w:rFonts w:ascii="Times New Roman" w:eastAsia="方正仿宋_GBK" w:hAnsi="Times New Roman" w:hint="eastAsia"/>
          <w:sz w:val="32"/>
          <w:szCs w:val="32"/>
        </w:rPr>
        <w:t>万元，增长</w:t>
      </w:r>
      <w:r>
        <w:rPr>
          <w:rFonts w:ascii="Times New Roman" w:eastAsia="方正仿宋_GBK" w:hAnsi="Times New Roman"/>
          <w:sz w:val="32"/>
          <w:szCs w:val="32"/>
        </w:rPr>
        <w:t>5.81</w:t>
      </w:r>
      <w:r>
        <w:rPr>
          <w:rFonts w:ascii="Times New Roman" w:eastAsia="方正仿宋_GBK" w:hAnsi="Times New Roman" w:hint="eastAsia"/>
          <w:sz w:val="32"/>
          <w:szCs w:val="32"/>
        </w:rPr>
        <w:t>%。主要是</w:t>
      </w:r>
      <w:r>
        <w:rPr>
          <w:rFonts w:ascii="Times New Roman" w:eastAsia="方正仿宋_GBK" w:hAnsi="Times New Roman"/>
          <w:sz w:val="32"/>
          <w:szCs w:val="32"/>
        </w:rPr>
        <w:t>上级部门养老保险清算完成，补缴调转人员基本养老保险</w:t>
      </w:r>
      <w:r>
        <w:rPr>
          <w:rFonts w:ascii="Times New Roman" w:eastAsia="方正仿宋_GBK" w:hAnsi="Times New Roman" w:hint="eastAsia"/>
          <w:sz w:val="32"/>
          <w:szCs w:val="32"/>
        </w:rPr>
        <w:t>。</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sz w:val="32"/>
          <w:szCs w:val="32"/>
        </w:rPr>
        <w:t>3</w:t>
      </w:r>
      <w:r>
        <w:rPr>
          <w:rFonts w:ascii="Times New Roman" w:eastAsia="方正仿宋_GBK" w:hAnsi="Times New Roman" w:hint="eastAsia"/>
          <w:sz w:val="32"/>
          <w:szCs w:val="32"/>
        </w:rPr>
        <w:t>．卫生健康支出（类）行政事业单位医疗（款）202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sz w:val="32"/>
          <w:szCs w:val="32"/>
        </w:rPr>
        <w:t>23.76</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3.61</w:t>
      </w:r>
      <w:r>
        <w:rPr>
          <w:rFonts w:ascii="Times New Roman" w:eastAsia="方正仿宋_GBK" w:hAnsi="Times New Roman" w:hint="eastAsia"/>
          <w:sz w:val="32"/>
          <w:szCs w:val="32"/>
        </w:rPr>
        <w:t>万元，下降1</w:t>
      </w:r>
      <w:r>
        <w:rPr>
          <w:rFonts w:ascii="Times New Roman" w:eastAsia="方正仿宋_GBK" w:hAnsi="Times New Roman"/>
          <w:sz w:val="32"/>
          <w:szCs w:val="32"/>
        </w:rPr>
        <w:t>3.19</w:t>
      </w:r>
      <w:r>
        <w:rPr>
          <w:rFonts w:ascii="Times New Roman" w:eastAsia="方正仿宋_GBK" w:hAnsi="Times New Roman" w:hint="eastAsia"/>
          <w:sz w:val="32"/>
          <w:szCs w:val="32"/>
        </w:rPr>
        <w:t>%。其中：</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（1）行政单位医疗（项）202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sz w:val="32"/>
          <w:szCs w:val="32"/>
        </w:rPr>
        <w:t>支出数为20.62</w:t>
      </w:r>
      <w:r>
        <w:rPr>
          <w:rFonts w:ascii="Times New Roman" w:eastAsia="方正仿宋_GBK" w:hAnsi="Times New Roman" w:hint="eastAsia"/>
          <w:sz w:val="32"/>
          <w:szCs w:val="32"/>
        </w:rPr>
        <w:t>万元，比202</w:t>
      </w:r>
      <w:r>
        <w:rPr>
          <w:rFonts w:ascii="Times New Roman" w:eastAsia="方正仿宋_GBK" w:hAnsi="Times New Roman"/>
          <w:sz w:val="32"/>
          <w:szCs w:val="32"/>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2.44</w:t>
      </w:r>
      <w:r>
        <w:rPr>
          <w:rFonts w:ascii="Times New Roman" w:eastAsia="方正仿宋_GBK" w:hAnsi="Times New Roman" w:hint="eastAsia"/>
          <w:sz w:val="32"/>
          <w:szCs w:val="32"/>
        </w:rPr>
        <w:t>万元，下降</w:t>
      </w:r>
      <w:r>
        <w:rPr>
          <w:rFonts w:ascii="Times New Roman" w:eastAsia="方正仿宋_GBK" w:hAnsi="Times New Roman"/>
          <w:sz w:val="32"/>
          <w:szCs w:val="32"/>
        </w:rPr>
        <w:t>10.58</w:t>
      </w:r>
      <w:r>
        <w:rPr>
          <w:rFonts w:ascii="Times New Roman" w:eastAsia="方正仿宋_GBK" w:hAnsi="Times New Roman" w:hint="eastAsia"/>
          <w:sz w:val="32"/>
          <w:szCs w:val="32"/>
        </w:rPr>
        <w:t>%。主要是</w:t>
      </w:r>
      <w:r>
        <w:rPr>
          <w:rFonts w:ascii="Times New Roman" w:eastAsia="方正仿宋_GBK" w:hAnsi="Times New Roman"/>
          <w:sz w:val="32"/>
          <w:szCs w:val="32"/>
        </w:rPr>
        <w:t>人员退休，</w:t>
      </w:r>
      <w:r>
        <w:rPr>
          <w:rFonts w:ascii="Times New Roman" w:eastAsia="方正仿宋_GBK" w:hAnsi="Times New Roman" w:hint="eastAsia"/>
          <w:sz w:val="32"/>
          <w:szCs w:val="32"/>
        </w:rPr>
        <w:t>行政单位医疗经费减少。</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（2）公务员医疗补助（项）202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2.55</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年执行数减少</w:t>
      </w:r>
      <w:r>
        <w:rPr>
          <w:rFonts w:ascii="Times New Roman" w:eastAsia="方正仿宋_GBK" w:hAnsi="Times New Roman"/>
          <w:sz w:val="32"/>
          <w:szCs w:val="32"/>
        </w:rPr>
        <w:t>1.16</w:t>
      </w:r>
      <w:r>
        <w:rPr>
          <w:rFonts w:ascii="Times New Roman" w:eastAsia="方正仿宋_GBK" w:hAnsi="Times New Roman" w:hint="eastAsia"/>
          <w:sz w:val="32"/>
          <w:szCs w:val="32"/>
        </w:rPr>
        <w:t>万元，下降</w:t>
      </w:r>
      <w:r>
        <w:rPr>
          <w:rFonts w:ascii="Times New Roman" w:eastAsia="方正仿宋_GBK" w:hAnsi="Times New Roman"/>
          <w:sz w:val="32"/>
          <w:szCs w:val="32"/>
        </w:rPr>
        <w:t>31.27</w:t>
      </w:r>
      <w:r>
        <w:rPr>
          <w:rFonts w:ascii="Times New Roman" w:eastAsia="方正仿宋_GBK" w:hAnsi="Times New Roman" w:hint="eastAsia"/>
          <w:sz w:val="32"/>
          <w:szCs w:val="32"/>
        </w:rPr>
        <w:t>%。主要是2</w:t>
      </w:r>
      <w:r>
        <w:rPr>
          <w:rFonts w:ascii="Times New Roman" w:eastAsia="方正仿宋_GBK" w:hAnsi="Times New Roman"/>
          <w:sz w:val="32"/>
          <w:szCs w:val="32"/>
        </w:rPr>
        <w:t>023</w:t>
      </w:r>
      <w:r>
        <w:rPr>
          <w:rFonts w:ascii="Times New Roman" w:eastAsia="方正仿宋_GBK" w:hAnsi="Times New Roman" w:hint="eastAsia"/>
          <w:sz w:val="32"/>
          <w:szCs w:val="32"/>
        </w:rPr>
        <w:t>年公务员医疗补助经费结转2</w:t>
      </w:r>
      <w:r>
        <w:rPr>
          <w:rFonts w:ascii="Times New Roman" w:eastAsia="方正仿宋_GBK" w:hAnsi="Times New Roman"/>
          <w:sz w:val="32"/>
          <w:szCs w:val="32"/>
        </w:rPr>
        <w:t>024</w:t>
      </w:r>
      <w:r>
        <w:rPr>
          <w:rFonts w:ascii="Times New Roman" w:eastAsia="方正仿宋_GBK" w:hAnsi="Times New Roman" w:hint="eastAsia"/>
          <w:sz w:val="32"/>
          <w:szCs w:val="32"/>
        </w:rPr>
        <w:t>年使用。</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cs="Times New Roman" w:hAnsi="Times New Roman"/>
          <w:sz w:val="32"/>
          <w:szCs w:val="32"/>
        </w:rPr>
        <w:t>3</w:t>
      </w:r>
      <w:r>
        <w:rPr>
          <w:rFonts w:ascii="Times New Roman" w:eastAsia="方正仿宋_GBK" w:hAnsi="Times New Roman" w:hint="eastAsia"/>
          <w:sz w:val="32"/>
          <w:szCs w:val="32"/>
        </w:rPr>
        <w:t>）其他行政事业单位医疗支出（项）202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w:t>
      </w:r>
      <w:r>
        <w:rPr>
          <w:rFonts w:ascii="Times New Roman" w:eastAsia="方正仿宋_GBK" w:hAnsi="Times New Roman" w:hint="eastAsia"/>
          <w:sz w:val="32"/>
          <w:szCs w:val="32"/>
          <w:lang w:eastAsia="zh-CN"/>
        </w:rPr>
        <w:t>支出数为</w:t>
      </w:r>
      <w:r>
        <w:rPr>
          <w:rFonts w:ascii="Times New Roman" w:eastAsia="方正仿宋_GBK" w:hAnsi="Times New Roman" w:hint="eastAsia"/>
          <w:sz w:val="32"/>
          <w:szCs w:val="32"/>
          <w:lang w:val="en-US" w:eastAsia="zh-CN"/>
        </w:rPr>
        <w:t>0.59</w:t>
      </w:r>
      <w:r>
        <w:rPr>
          <w:rFonts w:ascii="Times New Roman" w:eastAsia="方正仿宋_GBK" w:hAnsi="Times New Roman" w:hint="eastAsia"/>
          <w:sz w:val="32"/>
          <w:szCs w:val="32"/>
        </w:rPr>
        <w:t>万元</w:t>
      </w:r>
      <w:r>
        <w:rPr>
          <w:rFonts w:ascii="Times New Roman" w:eastAsia="方正仿宋_GBK" w:hAnsi="Times New Roman"/>
          <w:sz w:val="32"/>
          <w:szCs w:val="32"/>
        </w:rPr>
        <w:t>，比</w:t>
      </w: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w:t>
      </w:r>
      <w:r>
        <w:rPr>
          <w:rFonts w:ascii="Times New Roman" w:eastAsia="方正仿宋_GBK" w:hAnsi="Times New Roman"/>
          <w:sz w:val="32"/>
          <w:szCs w:val="32"/>
        </w:rPr>
        <w:t>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0.12</w:t>
      </w:r>
      <w:r>
        <w:rPr>
          <w:rFonts w:ascii="Times New Roman" w:eastAsia="方正仿宋_GBK" w:hAnsi="Times New Roman" w:hint="eastAsia"/>
          <w:sz w:val="32"/>
          <w:szCs w:val="32"/>
        </w:rPr>
        <w:t>万元</w:t>
      </w:r>
      <w:r>
        <w:rPr>
          <w:rFonts w:ascii="Times New Roman" w:eastAsia="方正仿宋_GBK" w:hAnsi="Times New Roman"/>
          <w:sz w:val="32"/>
          <w:szCs w:val="32"/>
        </w:rPr>
        <w:t>，</w:t>
      </w:r>
      <w:r>
        <w:rPr>
          <w:rFonts w:ascii="Times New Roman" w:eastAsia="方正仿宋_GBK" w:hAnsi="Times New Roman" w:hint="eastAsia"/>
          <w:sz w:val="32"/>
          <w:szCs w:val="32"/>
          <w:lang w:eastAsia="zh-CN"/>
        </w:rPr>
        <w:t>下降</w:t>
      </w:r>
      <w:r>
        <w:rPr>
          <w:rFonts w:ascii="Times New Roman" w:eastAsia="方正仿宋_GBK" w:hAnsi="Times New Roman" w:hint="eastAsia"/>
          <w:sz w:val="32"/>
          <w:szCs w:val="32"/>
          <w:lang w:val="en-US" w:eastAsia="zh-CN"/>
        </w:rPr>
        <w:t>16.90</w:t>
      </w:r>
      <w:r>
        <w:rPr>
          <w:rFonts w:ascii="Times New Roman" w:eastAsia="方正仿宋_GBK" w:hAnsi="Times New Roman"/>
          <w:sz w:val="32"/>
          <w:szCs w:val="32"/>
        </w:rPr>
        <w:t>%</w:t>
      </w:r>
      <w:r>
        <w:rPr>
          <w:rFonts w:ascii="Times New Roman" w:eastAsia="方正仿宋_GBK" w:hAnsi="Times New Roman" w:hint="eastAsia"/>
          <w:sz w:val="32"/>
          <w:szCs w:val="32"/>
        </w:rPr>
        <w:t>，</w:t>
      </w:r>
      <w:r>
        <w:rPr>
          <w:rFonts w:ascii="Times New Roman" w:eastAsia="方正仿宋_GBK" w:hAnsi="Times New Roman"/>
          <w:sz w:val="32"/>
          <w:szCs w:val="32"/>
        </w:rPr>
        <w:t>主要是</w:t>
      </w:r>
      <w:r>
        <w:rPr>
          <w:rFonts w:ascii="Times New Roman" w:eastAsia="方正仿宋_GBK" w:hAnsi="Times New Roman" w:hint="eastAsia"/>
          <w:sz w:val="32"/>
          <w:szCs w:val="32"/>
          <w:lang w:eastAsia="zh-CN"/>
        </w:rPr>
        <w:t>人员退休导致减少</w:t>
      </w:r>
      <w:r>
        <w:rPr>
          <w:rFonts w:ascii="Times New Roman" w:eastAsia="方正仿宋_GBK" w:hAnsi="Times New Roman" w:hint="eastAsia"/>
          <w:sz w:val="32"/>
          <w:szCs w:val="32"/>
        </w:rPr>
        <w:t>相应经费支出。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sz w:val="32"/>
          <w:szCs w:val="32"/>
        </w:rPr>
        <w:t>4</w:t>
      </w:r>
      <w:r>
        <w:rPr>
          <w:rFonts w:ascii="Times New Roman" w:eastAsia="方正仿宋_GBK" w:hAnsi="Times New Roman" w:hint="eastAsia"/>
          <w:sz w:val="32"/>
          <w:szCs w:val="32"/>
        </w:rPr>
        <w:t>．住房保障支出（类）住房改革支出（款）202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66.54</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7.74</w:t>
      </w:r>
      <w:r>
        <w:rPr>
          <w:rFonts w:ascii="Times New Roman" w:eastAsia="方正仿宋_GBK" w:hAnsi="Times New Roman" w:hint="eastAsia"/>
          <w:sz w:val="32"/>
          <w:szCs w:val="32"/>
        </w:rPr>
        <w:t>元，</w:t>
      </w:r>
      <w:r>
        <w:rPr>
          <w:rFonts w:ascii="Times New Roman" w:eastAsia="方正仿宋_GBK" w:hAnsi="Times New Roman" w:hint="eastAsia"/>
          <w:sz w:val="32"/>
          <w:szCs w:val="32"/>
          <w:lang w:eastAsia="zh-CN"/>
        </w:rPr>
        <w:t>下降</w:t>
      </w:r>
      <w:r>
        <w:rPr>
          <w:rFonts w:ascii="Times New Roman" w:eastAsia="方正仿宋_GBK" w:hAnsi="Times New Roman" w:hint="eastAsia"/>
          <w:sz w:val="32"/>
          <w:szCs w:val="32"/>
          <w:lang w:val="en-US" w:eastAsia="zh-CN"/>
        </w:rPr>
        <w:t>10.41</w:t>
      </w:r>
      <w:r>
        <w:rPr>
          <w:rFonts w:ascii="Times New Roman" w:eastAsia="方正仿宋_GBK" w:hAnsi="Times New Roman" w:hint="eastAsia"/>
          <w:sz w:val="32"/>
          <w:szCs w:val="32"/>
        </w:rPr>
        <w:t>%。主要是</w:t>
      </w:r>
      <w:r>
        <w:rPr>
          <w:rFonts w:ascii="Times New Roman" w:eastAsia="方正仿宋_GBK" w:hAnsi="Times New Roman" w:hint="eastAsia"/>
          <w:sz w:val="32"/>
          <w:szCs w:val="32"/>
          <w:lang w:eastAsia="zh-CN"/>
        </w:rPr>
        <w:t>人员退休导致减少</w:t>
      </w:r>
      <w:r>
        <w:rPr>
          <w:rFonts w:ascii="Times New Roman" w:eastAsia="方正仿宋_GBK" w:hAnsi="Times New Roman" w:hint="eastAsia"/>
          <w:sz w:val="32"/>
          <w:szCs w:val="32"/>
        </w:rPr>
        <w:t>相应经费支出。其中：</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（1）住房公积金（项）202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45.91</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8.71</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减少</w:t>
      </w:r>
      <w:r>
        <w:rPr>
          <w:rFonts w:ascii="Times New Roman" w:eastAsia="方正仿宋_GBK" w:hAnsi="Times New Roman" w:hint="eastAsia"/>
          <w:sz w:val="32"/>
          <w:szCs w:val="32"/>
          <w:lang w:val="en-US" w:eastAsia="zh-CN"/>
        </w:rPr>
        <w:t>15.95</w:t>
      </w:r>
      <w:r>
        <w:rPr>
          <w:rFonts w:ascii="Times New Roman" w:eastAsia="方正仿宋_GBK" w:hAnsi="Times New Roman" w:hint="eastAsia"/>
          <w:sz w:val="32"/>
          <w:szCs w:val="32"/>
        </w:rPr>
        <w:t>%。</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w:t>
      </w:r>
      <w:r>
        <w:rPr>
          <w:rFonts w:ascii="Times New Roman" w:eastAsia="方正仿宋_GBK" w:hAnsi="Times New Roman"/>
          <w:sz w:val="32"/>
          <w:szCs w:val="32"/>
        </w:rPr>
        <w:t>2</w:t>
      </w:r>
      <w:r>
        <w:rPr>
          <w:rFonts w:ascii="Times New Roman" w:eastAsia="方正仿宋_GBK" w:hAnsi="Times New Roman" w:hint="eastAsia"/>
          <w:sz w:val="32"/>
          <w:szCs w:val="32"/>
        </w:rPr>
        <w:t>）购房补贴（项）202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年预算</w:t>
      </w:r>
      <w:r>
        <w:rPr>
          <w:rFonts w:ascii="Times New Roman" w:eastAsia="方正仿宋_GBK" w:hAnsi="Times New Roman" w:hint="eastAsia"/>
          <w:sz w:val="32"/>
          <w:szCs w:val="32"/>
          <w:lang w:val="en-US" w:eastAsia="zh-CN"/>
        </w:rPr>
        <w:t>20.63</w:t>
      </w:r>
      <w:r>
        <w:rPr>
          <w:rFonts w:ascii="Times New Roman" w:eastAsia="方正仿宋_GBK" w:hAnsi="Times New Roman" w:hint="eastAsia"/>
          <w:sz w:val="32"/>
          <w:szCs w:val="32"/>
        </w:rPr>
        <w:t>万元，比202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年执行数</w:t>
      </w:r>
      <w:r>
        <w:rPr>
          <w:rFonts w:ascii="Times New Roman" w:eastAsia="方正仿宋_GBK" w:hAnsi="Times New Roman" w:hint="eastAsia"/>
          <w:sz w:val="32"/>
          <w:szCs w:val="32"/>
          <w:lang w:eastAsia="zh-CN"/>
        </w:rPr>
        <w:t>增加</w:t>
      </w:r>
      <w:r>
        <w:rPr>
          <w:rFonts w:ascii="Times New Roman" w:eastAsia="方正仿宋_GBK" w:hAnsi="Times New Roman" w:hint="eastAsia"/>
          <w:sz w:val="32"/>
          <w:szCs w:val="32"/>
          <w:lang w:val="en-US" w:eastAsia="zh-CN"/>
        </w:rPr>
        <w:t>1.17</w:t>
      </w:r>
      <w:r>
        <w:rPr>
          <w:rFonts w:ascii="Times New Roman" w:eastAsia="方正仿宋_GBK" w:hAnsi="Times New Roman" w:hint="eastAsia"/>
          <w:sz w:val="32"/>
          <w:szCs w:val="32"/>
        </w:rPr>
        <w:t>万元，</w:t>
      </w:r>
      <w:r>
        <w:rPr>
          <w:rFonts w:ascii="Times New Roman" w:eastAsia="方正仿宋_GBK" w:hAnsi="Times New Roman" w:hint="eastAsia"/>
          <w:sz w:val="32"/>
          <w:szCs w:val="32"/>
          <w:lang w:eastAsia="zh-CN"/>
        </w:rPr>
        <w:t>增长</w:t>
      </w:r>
      <w:r>
        <w:rPr>
          <w:rFonts w:ascii="Times New Roman" w:eastAsia="方正仿宋_GBK" w:hAnsi="Times New Roman" w:hint="eastAsia"/>
          <w:sz w:val="32"/>
          <w:szCs w:val="32"/>
          <w:lang w:val="en-US" w:eastAsia="zh-CN"/>
        </w:rPr>
        <w:t>5.92</w:t>
      </w:r>
      <w:r>
        <w:rPr>
          <w:rFonts w:ascii="Times New Roman" w:eastAsia="方正仿宋_GBK" w:hAnsi="Times New Roman" w:hint="eastAsia"/>
          <w:sz w:val="32"/>
          <w:szCs w:val="32"/>
        </w:rPr>
        <w:t>%。</w:t>
      </w:r>
    </w:p>
    <w:p>
      <w:pPr>
        <w:pStyle w:val="19"/>
        <w:spacing w:line="560" w:lineRule="exact"/>
        <w:ind w:left="0" w:firstLine="640"/>
        <w:rPr>
          <w:rFonts w:eastAsia="方正黑体_GBK"/>
          <w:sz w:val="32"/>
          <w:szCs w:val="32"/>
        </w:rPr>
      </w:pPr>
      <w:r>
        <w:rPr>
          <w:rFonts w:eastAsia="方正黑体_GBK" w:hint="eastAsia"/>
          <w:sz w:val="32"/>
          <w:szCs w:val="32"/>
        </w:rPr>
        <w:t>六、关于通辽海关202</w:t>
      </w:r>
      <w:r>
        <w:rPr>
          <w:rFonts w:eastAsia="方正黑体_GBK" w:hint="eastAsia"/>
          <w:sz w:val="32"/>
          <w:szCs w:val="32"/>
          <w:lang w:val="en-US" w:eastAsia="zh-CN"/>
        </w:rPr>
        <w:t>4</w:t>
      </w:r>
      <w:r>
        <w:rPr>
          <w:rFonts w:eastAsia="方正黑体_GBK" w:hint="eastAsia"/>
          <w:sz w:val="32"/>
          <w:szCs w:val="32"/>
        </w:rPr>
        <w:t>年一般公共预算基本支出情况说明</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通辽海关202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年一般公共预算基本支出</w:t>
      </w:r>
      <w:r>
        <w:rPr>
          <w:rFonts w:ascii="Times New Roman" w:eastAsia="方正仿宋_GBK" w:hAnsi="Times New Roman" w:hint="eastAsia"/>
          <w:sz w:val="32"/>
          <w:szCs w:val="32"/>
          <w:lang w:val="en-US" w:eastAsia="zh-CN"/>
        </w:rPr>
        <w:t>668.65</w:t>
      </w:r>
      <w:r>
        <w:rPr>
          <w:rFonts w:ascii="Times New Roman" w:eastAsia="方正仿宋_GBK" w:hAnsi="Times New Roman" w:hint="eastAsia"/>
          <w:sz w:val="32"/>
          <w:szCs w:val="32"/>
        </w:rPr>
        <w:t>万元，其中：</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人员经费</w:t>
      </w:r>
      <w:r>
        <w:rPr>
          <w:rFonts w:ascii="Times New Roman" w:eastAsia="方正仿宋_GBK" w:hAnsi="Times New Roman" w:hint="eastAsia"/>
          <w:sz w:val="32"/>
          <w:szCs w:val="32"/>
          <w:lang w:val="en-US" w:eastAsia="zh-CN"/>
        </w:rPr>
        <w:t>479.94</w:t>
      </w:r>
      <w:r>
        <w:rPr>
          <w:rFonts w:ascii="Times New Roman" w:eastAsia="方正仿宋_GBK" w:hAnsi="Times New Roman" w:hint="eastAsia"/>
          <w:sz w:val="32"/>
          <w:szCs w:val="32"/>
        </w:rPr>
        <w:t>万元，主要包括：基本工资、津贴补贴、奖金、机关事业单位基本养老保险缴费、职业年金缴费、职工基本医疗保险缴费、公务员医疗补助缴费、住房公积金、其他工资福利支出、生活补助、其他对个人和家庭的补助。</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日常公用经费</w:t>
      </w:r>
      <w:r>
        <w:rPr>
          <w:rFonts w:ascii="Times New Roman" w:eastAsia="方正仿宋_GBK" w:hAnsi="Times New Roman" w:hint="eastAsia"/>
          <w:sz w:val="32"/>
          <w:szCs w:val="32"/>
          <w:lang w:val="en-US" w:eastAsia="zh-CN"/>
        </w:rPr>
        <w:t>188.71</w:t>
      </w:r>
      <w:r>
        <w:rPr>
          <w:rFonts w:ascii="Times New Roman" w:eastAsia="方正仿宋_GBK" w:hAnsi="Times New Roman" w:hint="eastAsia"/>
          <w:sz w:val="32"/>
          <w:szCs w:val="32"/>
        </w:rPr>
        <w:t>万元，主要包括：办公费、印刷费、咨询费、手续费、水费、电费、邮电费、取暖费、物业管理费、差旅费、维修（护）费、租赁费、劳务费、委托业务费、工会经费、福利费、其他交通费用、其他商品和服务支出。</w:t>
      </w:r>
    </w:p>
    <w:p>
      <w:pPr>
        <w:pStyle w:val="19"/>
        <w:spacing w:line="560" w:lineRule="exact"/>
        <w:ind w:left="0" w:firstLine="640"/>
        <w:rPr>
          <w:rFonts w:eastAsia="方正黑体_GBK"/>
          <w:sz w:val="32"/>
          <w:szCs w:val="32"/>
        </w:rPr>
      </w:pPr>
      <w:r>
        <w:rPr>
          <w:rFonts w:eastAsia="方正黑体_GBK" w:hint="eastAsia"/>
          <w:sz w:val="32"/>
          <w:szCs w:val="32"/>
        </w:rPr>
        <w:t>七、关于通辽海关202</w:t>
      </w:r>
      <w:r>
        <w:rPr>
          <w:rFonts w:eastAsia="方正黑体_GBK"/>
          <w:sz w:val="32"/>
          <w:szCs w:val="32"/>
        </w:rPr>
        <w:t>3</w:t>
      </w:r>
      <w:r>
        <w:rPr>
          <w:rFonts w:eastAsia="方正黑体_GBK" w:hint="eastAsia"/>
          <w:sz w:val="32"/>
          <w:szCs w:val="32"/>
        </w:rPr>
        <w:t>年“三公”经费预算情况说明</w:t>
      </w:r>
    </w:p>
    <w:p>
      <w:pPr>
        <w:spacing w:line="560" w:lineRule="exact"/>
        <w:ind w:left="0" w:firstLine="640"/>
        <w:rPr>
          <w:rFonts w:ascii="Times New Roman" w:hAnsi="Times New Roman"/>
          <w:sz w:val="32"/>
          <w:szCs w:val="32"/>
        </w:rPr>
      </w:pPr>
      <w:r>
        <w:rPr>
          <w:rFonts w:ascii="Times New Roman" w:eastAsia="方正仿宋_GBK" w:hAnsi="Times New Roman" w:hint="eastAsia"/>
          <w:sz w:val="32"/>
          <w:szCs w:val="32"/>
        </w:rPr>
        <w:t>海关202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年“三公”经费预算数为14.40万元，较202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年预算数</w:t>
      </w:r>
      <w:r>
        <w:rPr>
          <w:rFonts w:ascii="Times New Roman" w:eastAsia="方正仿宋_GBK" w:hAnsi="Times New Roman" w:hint="eastAsia"/>
          <w:sz w:val="32"/>
          <w:szCs w:val="32"/>
          <w:lang w:eastAsia="zh-CN"/>
        </w:rPr>
        <w:t>一致</w:t>
      </w:r>
      <w:r>
        <w:rPr>
          <w:rFonts w:ascii="Times New Roman" w:eastAsia="方正仿宋_GBK" w:hAnsi="Times New Roman" w:hint="eastAsia"/>
          <w:sz w:val="32"/>
          <w:szCs w:val="32"/>
        </w:rPr>
        <w:t>。其中：公务用车运行费14.40万元，</w:t>
      </w:r>
      <w:r>
        <w:rPr>
          <w:rFonts w:ascii="Times New Roman" w:eastAsia="方正仿宋_GBK" w:hAnsi="Times New Roman" w:hint="eastAsia"/>
          <w:sz w:val="32"/>
          <w:szCs w:val="32"/>
          <w:lang w:eastAsia="zh-CN"/>
        </w:rPr>
        <w:t>与</w:t>
      </w:r>
      <w:r>
        <w:rPr>
          <w:rFonts w:ascii="Times New Roman" w:eastAsia="方正仿宋_GBK" w:hAnsi="Times New Roman" w:hint="eastAsia"/>
          <w:sz w:val="32"/>
          <w:szCs w:val="32"/>
          <w:lang w:val="en-US" w:eastAsia="zh-CN"/>
        </w:rPr>
        <w:t>2023年持平</w:t>
      </w:r>
      <w:r>
        <w:rPr>
          <w:rFonts w:ascii="Times New Roman" w:eastAsia="方正仿宋_GBK" w:hAnsi="Times New Roman"/>
          <w:sz w:val="32"/>
          <w:szCs w:val="32"/>
        </w:rPr>
        <w:t>。</w:t>
      </w:r>
    </w:p>
    <w:p>
      <w:pPr>
        <w:pStyle w:val="19"/>
        <w:spacing w:line="560" w:lineRule="exact"/>
        <w:ind w:left="0" w:firstLine="640"/>
        <w:rPr>
          <w:rFonts w:eastAsia="方正黑体_GBK"/>
          <w:sz w:val="32"/>
          <w:szCs w:val="32"/>
        </w:rPr>
      </w:pPr>
      <w:r>
        <w:rPr>
          <w:rFonts w:eastAsia="方正黑体_GBK" w:hint="eastAsia"/>
          <w:sz w:val="32"/>
          <w:szCs w:val="32"/>
        </w:rPr>
        <w:t>八、关于通辽海关202</w:t>
      </w:r>
      <w:r>
        <w:rPr>
          <w:rFonts w:eastAsia="方正黑体_GBK"/>
          <w:sz w:val="32"/>
          <w:szCs w:val="32"/>
        </w:rPr>
        <w:t>3</w:t>
      </w:r>
      <w:r>
        <w:rPr>
          <w:rFonts w:eastAsia="方正黑体_GBK" w:hint="eastAsia"/>
          <w:sz w:val="32"/>
          <w:szCs w:val="32"/>
        </w:rPr>
        <w:t>年政府性基金预算收支情况说明</w:t>
      </w:r>
    </w:p>
    <w:p>
      <w:pPr>
        <w:spacing w:line="560" w:lineRule="exact"/>
        <w:ind w:left="0" w:firstLine="640"/>
        <w:rPr>
          <w:rFonts w:ascii="Times New Roman" w:hAnsi="Times New Roman"/>
          <w:sz w:val="32"/>
          <w:szCs w:val="32"/>
        </w:rPr>
      </w:pPr>
      <w:r>
        <w:rPr>
          <w:rFonts w:ascii="Times New Roman" w:eastAsia="方正仿宋_GBK" w:hAnsi="Times New Roman" w:hint="eastAsia"/>
          <w:sz w:val="32"/>
          <w:szCs w:val="32"/>
        </w:rPr>
        <w:t>通辽海关202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年无政府性基金预算收支。</w:t>
      </w:r>
    </w:p>
    <w:p>
      <w:pPr>
        <w:pStyle w:val="19"/>
        <w:spacing w:line="560" w:lineRule="exact"/>
        <w:ind w:left="0" w:firstLine="640"/>
        <w:rPr>
          <w:rFonts w:eastAsia="方正黑体_GBK"/>
          <w:sz w:val="32"/>
          <w:szCs w:val="32"/>
        </w:rPr>
      </w:pPr>
      <w:r>
        <w:rPr>
          <w:rFonts w:eastAsia="方正黑体_GBK" w:hint="eastAsia"/>
          <w:sz w:val="32"/>
          <w:szCs w:val="32"/>
        </w:rPr>
        <w:t>九、关于通辽海关202</w:t>
      </w:r>
      <w:r>
        <w:rPr>
          <w:rFonts w:eastAsia="方正黑体_GBK" w:hint="eastAsia"/>
          <w:sz w:val="32"/>
          <w:szCs w:val="32"/>
          <w:lang w:val="en-US" w:eastAsia="zh-CN"/>
        </w:rPr>
        <w:t>4</w:t>
      </w:r>
      <w:r>
        <w:rPr>
          <w:rFonts w:eastAsia="方正黑体_GBK" w:hint="eastAsia"/>
          <w:sz w:val="32"/>
          <w:szCs w:val="32"/>
        </w:rPr>
        <w:t>年国有资本经营预算收支情况说明</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通辽海关202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年无国有资本经营预算收支。</w:t>
      </w:r>
    </w:p>
    <w:p>
      <w:pPr>
        <w:pStyle w:val="19"/>
        <w:spacing w:line="560" w:lineRule="exact"/>
        <w:ind w:left="0" w:firstLine="640"/>
        <w:rPr>
          <w:rFonts w:eastAsia="方正黑体_GBK"/>
          <w:sz w:val="32"/>
          <w:szCs w:val="32"/>
        </w:rPr>
      </w:pPr>
      <w:r>
        <w:rPr>
          <w:rFonts w:eastAsia="方正黑体_GBK" w:hint="eastAsia"/>
          <w:sz w:val="32"/>
          <w:szCs w:val="32"/>
        </w:rPr>
        <w:t>十、其他重要事项情况说明</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（一）机关运行经费。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年通辽海关的机关运行经费财政拨款预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188.71</w:t>
      </w:r>
      <w:r>
        <w:rPr>
          <w:rFonts w:ascii="Times New Roman" w:eastAsia="方正仿宋_GBK" w:hAnsi="Times New Roman" w:hint="eastAsia"/>
          <w:sz w:val="32"/>
          <w:szCs w:val="32"/>
        </w:rPr>
        <w:t>万元，较202</w:t>
      </w:r>
      <w:r>
        <w:rPr>
          <w:rFonts w:ascii="Times New Roman" w:eastAsia="方正仿宋_GBK" w:hAnsi="Times New Roman" w:hint="eastAsia"/>
          <w:sz w:val="32"/>
          <w:szCs w:val="32"/>
          <w:lang w:val="en-US" w:eastAsia="zh-CN"/>
        </w:rPr>
        <w:t>3</w:t>
      </w:r>
      <w:r>
        <w:rPr>
          <w:rFonts w:ascii="Times New Roman" w:eastAsia="方正仿宋_GBK" w:hAnsi="Times New Roman" w:hint="eastAsia"/>
          <w:sz w:val="32"/>
          <w:szCs w:val="32"/>
        </w:rPr>
        <w:t>年预</w:t>
      </w:r>
      <w:r>
        <w:rPr>
          <w:rFonts w:ascii="Times New Roman" w:eastAsia="方正仿宋_GBK" w:hAnsi="Times New Roman" w:hint="eastAsia"/>
          <w:color w:val="000000"/>
          <w:sz w:val="32"/>
          <w:szCs w:val="32"/>
        </w:rPr>
        <w:t>算</w:t>
      </w:r>
      <w:r>
        <w:rPr>
          <w:rFonts w:ascii="Times New Roman" w:eastAsia="方正仿宋_GBK" w:hAnsi="Times New Roman"/>
          <w:color w:val="000000"/>
          <w:sz w:val="32"/>
          <w:szCs w:val="32"/>
        </w:rPr>
        <w:t>减少147.19</w:t>
      </w:r>
      <w:r>
        <w:rPr>
          <w:rFonts w:ascii="Times New Roman" w:eastAsia="方正仿宋_GBK" w:hAnsi="Times New Roman" w:hint="eastAsia"/>
          <w:color w:val="000000"/>
          <w:sz w:val="32"/>
          <w:szCs w:val="32"/>
        </w:rPr>
        <w:t>万元，</w:t>
      </w:r>
      <w:r>
        <w:rPr>
          <w:rFonts w:ascii="Times New Roman" w:eastAsia="方正仿宋_GBK" w:hAnsi="Times New Roman"/>
          <w:color w:val="000000"/>
          <w:sz w:val="32"/>
          <w:szCs w:val="32"/>
        </w:rPr>
        <w:t>下降43.82</w:t>
      </w:r>
      <w:r>
        <w:rPr>
          <w:rFonts w:ascii="Times New Roman" w:eastAsia="方正仿宋_GBK" w:hAnsi="Times New Roman" w:hint="eastAsia"/>
          <w:color w:val="000000"/>
          <w:sz w:val="32"/>
          <w:szCs w:val="32"/>
        </w:rPr>
        <w:t>%。</w:t>
      </w:r>
      <w:r>
        <w:rPr>
          <w:rFonts w:ascii="Times New Roman" w:eastAsia="方正仿宋_GBK" w:hAnsi="Times New Roman" w:hint="eastAsia"/>
          <w:sz w:val="32"/>
          <w:szCs w:val="32"/>
        </w:rPr>
        <w:t>主要是办公楼维修经费等</w:t>
      </w:r>
      <w:r>
        <w:rPr>
          <w:rFonts w:ascii="Times New Roman" w:eastAsia="方正仿宋_GBK" w:hAnsi="Times New Roman"/>
          <w:sz w:val="32"/>
          <w:szCs w:val="32"/>
        </w:rPr>
        <w:t>定向项目减少。</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（二）政府采购情况。</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年通辽海关政府采购预算总额</w:t>
      </w:r>
      <w:r>
        <w:rPr>
          <w:rFonts w:ascii="Times New Roman" w:eastAsia="方正仿宋_GBK" w:hAnsi="Times New Roman" w:hint="eastAsia"/>
          <w:sz w:val="32"/>
          <w:szCs w:val="32"/>
          <w:lang w:val="en-US" w:eastAsia="zh-CN"/>
        </w:rPr>
        <w:t>3.33</w:t>
      </w:r>
      <w:r>
        <w:rPr>
          <w:rFonts w:ascii="Times New Roman" w:eastAsia="方正仿宋_GBK" w:hAnsi="Times New Roman" w:hint="eastAsia"/>
          <w:sz w:val="32"/>
          <w:szCs w:val="32"/>
        </w:rPr>
        <w:t>元。</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（三）国有资产占有使用情况。</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color w:val="000000"/>
          <w:sz w:val="32"/>
          <w:szCs w:val="32"/>
        </w:rPr>
        <w:t>截至202</w:t>
      </w:r>
      <w:r>
        <w:rPr>
          <w:rFonts w:ascii="Times New Roman" w:eastAsia="方正仿宋_GBK" w:hAnsi="Times New Roman" w:hint="eastAsia"/>
          <w:color w:val="000000"/>
          <w:sz w:val="32"/>
          <w:szCs w:val="32"/>
          <w:lang w:val="en-US" w:eastAsia="zh-CN"/>
        </w:rPr>
        <w:t>4</w:t>
      </w:r>
      <w:r>
        <w:rPr>
          <w:rFonts w:ascii="Times New Roman" w:eastAsia="方正仿宋_GBK" w:hAnsi="Times New Roman" w:hint="eastAsia"/>
          <w:color w:val="000000"/>
          <w:sz w:val="32"/>
          <w:szCs w:val="32"/>
        </w:rPr>
        <w:t>年</w:t>
      </w:r>
      <w:r>
        <w:rPr>
          <w:rFonts w:ascii="Times New Roman" w:eastAsia="方正仿宋_GBK" w:hAnsi="Times New Roman" w:hint="eastAsia"/>
          <w:color w:val="000000"/>
          <w:sz w:val="32"/>
          <w:szCs w:val="32"/>
          <w:lang w:val="en-US" w:eastAsia="zh-CN"/>
        </w:rPr>
        <w:t>12</w:t>
      </w:r>
      <w:r>
        <w:rPr>
          <w:rFonts w:ascii="Times New Roman" w:eastAsia="方正仿宋_GBK" w:hAnsi="Times New Roman" w:hint="eastAsia"/>
          <w:color w:val="000000"/>
          <w:sz w:val="32"/>
          <w:szCs w:val="32"/>
        </w:rPr>
        <w:t>月31日，通辽海关共有车辆</w:t>
      </w:r>
      <w:r>
        <w:rPr>
          <w:rFonts w:ascii="Times New Roman" w:eastAsia="方正仿宋_GBK" w:hAnsi="Times New Roman" w:hint="eastAsia"/>
          <w:color w:val="000000"/>
          <w:sz w:val="32"/>
          <w:szCs w:val="32"/>
          <w:lang w:val="en-US" w:eastAsia="zh-CN"/>
        </w:rPr>
        <w:t>5</w:t>
      </w:r>
      <w:r>
        <w:rPr>
          <w:rFonts w:ascii="Times New Roman" w:eastAsia="方正仿宋_GBK" w:hAnsi="Times New Roman" w:hint="eastAsia"/>
          <w:color w:val="000000"/>
          <w:sz w:val="32"/>
          <w:szCs w:val="32"/>
        </w:rPr>
        <w:t>辆，其中，</w:t>
      </w:r>
      <w:r>
        <w:rPr>
          <w:rFonts w:ascii="Times New Roman" w:eastAsia="方正仿宋_GBK" w:hAnsi="Times New Roman" w:hint="eastAsia"/>
          <w:color w:val="000000"/>
          <w:sz w:val="32"/>
          <w:szCs w:val="32"/>
          <w:lang w:eastAsia="zh-CN"/>
        </w:rPr>
        <w:t>应急保障用车</w:t>
      </w:r>
      <w:r>
        <w:rPr>
          <w:rFonts w:ascii="Times New Roman" w:eastAsia="方正仿宋_GBK" w:hAnsi="Times New Roman" w:hint="eastAsia"/>
          <w:color w:val="000000"/>
          <w:sz w:val="32"/>
          <w:szCs w:val="32"/>
          <w:lang w:val="en-US" w:eastAsia="zh-CN"/>
        </w:rPr>
        <w:t>1</w:t>
      </w:r>
      <w:r>
        <w:rPr>
          <w:rFonts w:ascii="Times New Roman" w:eastAsia="方正仿宋_GBK" w:hAnsi="Times New Roman" w:hint="eastAsia"/>
          <w:color w:val="000000"/>
          <w:sz w:val="32"/>
          <w:szCs w:val="32"/>
        </w:rPr>
        <w:t>辆、执法执勤用车</w:t>
      </w:r>
      <w:r>
        <w:rPr>
          <w:rFonts w:ascii="Times New Roman" w:eastAsia="方正仿宋_GBK" w:hAnsi="Times New Roman"/>
          <w:color w:val="000000"/>
          <w:sz w:val="32"/>
          <w:szCs w:val="32"/>
        </w:rPr>
        <w:t>4</w:t>
      </w:r>
      <w:r>
        <w:rPr>
          <w:rFonts w:ascii="Times New Roman" w:eastAsia="方正仿宋_GBK" w:hAnsi="Times New Roman" w:hint="eastAsia"/>
          <w:color w:val="000000"/>
          <w:sz w:val="32"/>
          <w:szCs w:val="32"/>
        </w:rPr>
        <w:t>辆。单位价值100万元以上的设备</w:t>
      </w:r>
      <w:r>
        <w:rPr>
          <w:rFonts w:ascii="Times New Roman" w:eastAsia="方正仿宋_GBK" w:hAnsi="Times New Roman"/>
          <w:color w:val="000000"/>
          <w:sz w:val="32"/>
          <w:szCs w:val="32"/>
        </w:rPr>
        <w:t>0</w:t>
      </w:r>
      <w:r>
        <w:rPr>
          <w:rFonts w:ascii="Times New Roman" w:eastAsia="方正仿宋_GBK" w:hAnsi="Times New Roman" w:hint="eastAsia"/>
          <w:color w:val="000000"/>
          <w:sz w:val="32"/>
          <w:szCs w:val="32"/>
        </w:rPr>
        <w:t>台（套）。</w:t>
      </w:r>
    </w:p>
    <w:p>
      <w:pPr>
        <w:spacing w:line="560" w:lineRule="exact"/>
        <w:ind w:left="0" w:firstLine="640"/>
        <w:jc w:val="left"/>
        <w:rPr>
          <w:rFonts w:ascii="Times New Roman" w:eastAsia="方正楷体_GBK" w:hAnsi="Times New Roman"/>
          <w:b/>
          <w:bCs/>
          <w:sz w:val="32"/>
          <w:szCs w:val="32"/>
        </w:rPr>
      </w:pPr>
      <w:r>
        <w:rPr>
          <w:rFonts w:ascii="Times New Roman" w:eastAsia="方正楷体_GBK" w:hAnsi="Times New Roman" w:hint="eastAsia"/>
          <w:b/>
          <w:bCs/>
          <w:sz w:val="32"/>
          <w:szCs w:val="32"/>
        </w:rPr>
        <w:t>（四）预算绩效情况说明。</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sz w:val="32"/>
          <w:szCs w:val="32"/>
        </w:rPr>
        <w:t>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年对通辽海关一般公共预算拨款项目全面实施绩效目标管理，涉及5个二级项目的一般公共预算当年拨款</w:t>
      </w:r>
      <w:r>
        <w:rPr>
          <w:rFonts w:ascii="Times New Roman" w:eastAsia="方正仿宋_GBK" w:hAnsi="Times New Roman" w:hint="eastAsia"/>
          <w:sz w:val="32"/>
          <w:szCs w:val="32"/>
          <w:lang w:val="en-US" w:eastAsia="zh-CN"/>
        </w:rPr>
        <w:t>57.40</w:t>
      </w:r>
      <w:r>
        <w:rPr>
          <w:rFonts w:ascii="Times New Roman" w:eastAsia="方正仿宋_GBK" w:hAnsi="Times New Roman" w:hint="eastAsia"/>
          <w:sz w:val="32"/>
          <w:szCs w:val="32"/>
        </w:rPr>
        <w:t>万元。根据以前年度绩效评价结果，优化海关业务保障及能力提升专项、进出口食品及化妆品安全专项等项目支出202</w:t>
      </w:r>
      <w:r>
        <w:rPr>
          <w:rFonts w:ascii="Times New Roman" w:eastAsia="方正仿宋_GBK" w:hAnsi="Times New Roman" w:hint="eastAsia"/>
          <w:sz w:val="32"/>
          <w:szCs w:val="32"/>
          <w:lang w:val="en-US" w:eastAsia="zh-CN"/>
        </w:rPr>
        <w:t>4</w:t>
      </w:r>
      <w:r>
        <w:rPr>
          <w:rFonts w:ascii="Times New Roman" w:eastAsia="方正仿宋_GBK" w:hAnsi="Times New Roman" w:hint="eastAsia"/>
          <w:sz w:val="32"/>
          <w:szCs w:val="32"/>
        </w:rPr>
        <w:t>年预算安排，并进一步改进管理、完善政策。</w:t>
      </w:r>
    </w:p>
    <w:p>
      <w:pPr>
        <w:ind w:left="0" w:firstLine="640"/>
        <w:rPr>
          <w:rFonts w:ascii="Times New Roman" w:eastAsia="方正仿宋_GBK" w:hAnsi="Times New Roman"/>
          <w:sz w:val="32"/>
          <w:szCs w:val="32"/>
        </w:rPr>
        <w:sectPr>
          <w:pgSz w:w="11906" w:h="16838"/>
          <w:pgMar w:top="1134" w:right="1134" w:bottom="1134" w:left="1134" w:header="851" w:footer="992" w:gutter="0"/>
          <w:docGrid w:type="lines" w:linePitch="312" w:charSpace="0"/>
        </w:sectPr>
      </w:pPr>
    </w:p>
    <w:p>
      <w:pPr>
        <w:ind w:left="0" w:firstLine="640"/>
        <w:jc w:val="center"/>
        <w:rPr>
          <w:rFonts w:ascii="Times New Roman" w:eastAsia="方正仿宋_GBK" w:hAnsi="Times New Roman"/>
          <w:sz w:val="32"/>
          <w:szCs w:val="32"/>
        </w:rPr>
      </w:pPr>
    </w:p>
    <w:p>
      <w:pPr>
        <w:ind w:left="0" w:firstLine="640"/>
        <w:jc w:val="center"/>
        <w:rPr>
          <w:rFonts w:ascii="Times New Roman" w:hAnsi="Times New Roman"/>
          <w:b/>
          <w:sz w:val="32"/>
          <w:szCs w:val="32"/>
        </w:rPr>
      </w:pPr>
    </w:p>
    <w:p>
      <w:pPr>
        <w:ind w:left="0" w:right="0" w:firstLine="640"/>
        <w:jc w:val="center"/>
        <w:rPr>
          <w:rFonts w:ascii="Times New Roman" w:hAnsi="Times New Roman"/>
          <w:b/>
          <w:sz w:val="32"/>
          <w:szCs w:val="32"/>
        </w:rPr>
      </w:pPr>
      <w:r>
        <w:rPr>
          <w:rFonts w:ascii="Times New Roman" w:hAnsi="Times New Roman" w:hint="eastAsia"/>
          <w:b/>
          <w:sz w:val="32"/>
          <w:szCs w:val="32"/>
        </w:rPr>
        <w:t xml:space="preserve"> </w:t>
      </w:r>
    </w:p>
    <w:p>
      <w:pPr>
        <w:ind w:left="0" w:firstLine="640"/>
        <w:jc w:val="center"/>
        <w:rPr>
          <w:rFonts w:ascii="Times New Roman" w:hAnsi="Times New Roman"/>
          <w:b/>
          <w:sz w:val="32"/>
          <w:szCs w:val="32"/>
        </w:rPr>
      </w:pPr>
    </w:p>
    <w:p>
      <w:pPr>
        <w:ind w:left="0" w:firstLine="640"/>
        <w:jc w:val="center"/>
        <w:rPr>
          <w:rFonts w:ascii="Times New Roman" w:hAnsi="Times New Roman"/>
          <w:b/>
          <w:sz w:val="32"/>
          <w:szCs w:val="32"/>
        </w:rPr>
      </w:pPr>
    </w:p>
    <w:p>
      <w:pPr>
        <w:ind w:left="0" w:firstLine="640"/>
        <w:jc w:val="center"/>
        <w:rPr>
          <w:rFonts w:ascii="Times New Roman" w:hAnsi="Times New Roman"/>
          <w:b/>
          <w:sz w:val="32"/>
          <w:szCs w:val="32"/>
        </w:rPr>
      </w:pPr>
    </w:p>
    <w:p>
      <w:pPr>
        <w:ind w:left="0" w:firstLine="640"/>
        <w:jc w:val="center"/>
        <w:rPr>
          <w:rFonts w:ascii="Times New Roman" w:hAnsi="Times New Roman"/>
          <w:b/>
          <w:sz w:val="32"/>
          <w:szCs w:val="32"/>
        </w:rPr>
      </w:pPr>
    </w:p>
    <w:p>
      <w:pPr>
        <w:ind w:left="0" w:firstLine="640"/>
        <w:jc w:val="center"/>
        <w:rPr>
          <w:rFonts w:ascii="Times New Roman" w:hAnsi="Times New Roman"/>
          <w:b/>
          <w:sz w:val="32"/>
          <w:szCs w:val="32"/>
        </w:rPr>
      </w:pPr>
    </w:p>
    <w:p>
      <w:pPr>
        <w:ind w:left="0" w:firstLine="640"/>
        <w:jc w:val="center"/>
        <w:rPr>
          <w:rFonts w:ascii="Times New Roman" w:hAnsi="Times New Roman"/>
          <w:b/>
          <w:sz w:val="32"/>
          <w:szCs w:val="32"/>
        </w:rPr>
      </w:pPr>
      <w:r>
        <w:rPr>
          <w:rFonts w:ascii="Times New Roman" w:hAnsi="Times New Roman" w:hint="eastAsia"/>
          <w:b/>
          <w:sz w:val="32"/>
          <w:szCs w:val="32"/>
        </w:rPr>
        <w:t xml:space="preserve"> </w:t>
      </w:r>
    </w:p>
    <w:p>
      <w:pPr>
        <w:ind w:left="0" w:firstLine="0"/>
        <w:jc w:val="center"/>
        <w:rPr>
          <w:rFonts w:ascii="Times New Roman" w:hAnsi="Times New Roman"/>
          <w:b/>
          <w:sz w:val="84"/>
          <w:szCs w:val="84"/>
        </w:rPr>
      </w:pPr>
      <w:r>
        <w:rPr>
          <w:rFonts w:ascii="Times New Roman" w:hAnsi="Times New Roman" w:hint="eastAsia"/>
          <w:b/>
          <w:sz w:val="84"/>
          <w:szCs w:val="84"/>
        </w:rPr>
        <w:t>第四部分</w:t>
      </w:r>
    </w:p>
    <w:p>
      <w:pPr>
        <w:ind w:left="0" w:firstLine="0"/>
        <w:jc w:val="center"/>
        <w:rPr>
          <w:rFonts w:ascii="Times New Roman" w:hAnsi="Times New Roman"/>
          <w:b/>
          <w:sz w:val="84"/>
          <w:szCs w:val="84"/>
        </w:rPr>
      </w:pPr>
      <w:r>
        <w:rPr>
          <w:rFonts w:ascii="Times New Roman" w:hAnsi="Times New Roman" w:hint="eastAsia"/>
          <w:b/>
          <w:sz w:val="84"/>
          <w:szCs w:val="84"/>
        </w:rPr>
        <w:t>名词解释</w:t>
      </w:r>
    </w:p>
    <w:p>
      <w:pPr>
        <w:ind w:left="0" w:firstLine="0"/>
        <w:jc w:val="center"/>
        <w:rPr>
          <w:rFonts w:ascii="Times New Roman" w:hAnsi="Times New Roman"/>
          <w:b/>
          <w:sz w:val="84"/>
          <w:szCs w:val="84"/>
        </w:rPr>
        <w:sectPr>
          <w:pgSz w:w="11906" w:h="16838"/>
          <w:pgMar w:top="1134" w:right="1952" w:bottom="1134" w:left="1134" w:header="851" w:footer="992" w:gutter="0"/>
          <w:docGrid w:type="lines" w:linePitch="312" w:charSpace="0"/>
        </w:sectPr>
      </w:pP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spacing w:line="560" w:lineRule="exact"/>
        <w:ind w:left="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left="0" w:firstLine="640"/>
        <w:jc w:val="left"/>
        <w:rPr>
          <w:rFonts w:ascii="Times New Roman" w:eastAsia="方正仿宋_GBK" w:hAnsi="Times New Roman"/>
          <w:sz w:val="32"/>
          <w:szCs w:val="32"/>
        </w:rPr>
        <w:sectPr>
          <w:pgSz w:w="11906" w:h="16838"/>
          <w:pgMar w:top="1134" w:right="1134" w:bottom="1134" w:left="1134" w:header="851" w:footer="992" w:gutter="0"/>
          <w:docGrid w:type="lines" w:linePitch="312" w:charSpace="0"/>
        </w:sectPr>
      </w:pPr>
    </w:p>
    <w:p>
      <w:pPr>
        <w:jc w:val="left"/>
        <w:rPr>
          <w:rFonts w:ascii="Times New Roman" w:eastAsia="方正仿宋_GBK" w:hAnsi="Times New Roman" w:hint="eastAsia"/>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20007A87" w:usb1="80000000" w:usb2="00000008" w:usb3="00000000" w:csb0="000001FF" w:csb1="00000000"/>
  </w:font>
  <w:font w:name="方正仿宋_GBK">
    <w:panose1 w:val="02000000000000000000"/>
    <w:charset w:val="86"/>
    <w:family w:val="script"/>
    <w:pitch w:val="variable"/>
    <w:sig w:usb0="A00002BF" w:usb1="38CF7CFA" w:usb2="00082016" w:usb3="00000000" w:csb0="00040001" w:csb1="00000000"/>
  </w:font>
  <w:font w:name="宋体">
    <w:panose1 w:val="02010600030101010101"/>
    <w:charset w:val="86"/>
    <w:family w:val="auto"/>
    <w:pitch w:val="variable"/>
    <w:sig w:usb0="00000003" w:usb1="080E0000" w:usb2="00000000" w:usb3="00000000" w:csb0="00040001" w:csb1="00000000"/>
  </w:font>
  <w:font w:name="方正黑体_GBK">
    <w:panose1 w:val="02000000000000000000"/>
    <w:charset w:val="86"/>
    <w:family w:val="script"/>
    <w:pitch w:val="variable"/>
    <w:sig w:usb0="A00002BF" w:usb1="38CF7CFA" w:usb2="00082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方正楷体_GBK">
    <w:panose1 w:val="02000000000000000000"/>
    <w:charset w:val="86"/>
    <w:family w:val="script"/>
    <w:pitch w:val="variable"/>
    <w:sig w:usb0="A00002BF" w:usb1="38CF7CFA" w:usb2="00082016" w:usb3="00000000" w:csb0="00040001" w:csb1="00000000"/>
  </w:font>
  <w:font w:name="Calibri">
    <w:altName w:val="DejaVu Sans"/>
    <w:panose1 w:val="020F0502020204030204"/>
    <w:charset w:val="00"/>
    <w:family w:val="swiss"/>
    <w:pitch w:val="variable"/>
    <w:sig w:usb0="00000000" w:usb1="00000000" w:usb2="00000001" w:usb3="00000000" w:csb0="0000019F" w:csb1="00000000"/>
  </w:font>
  <w:font w:name="Arial">
    <w:altName w:val="Times New Roman"/>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7"/>
      </w:tabs>
    </w:pPr>
    <w:r>
      <mc:AlternateContent>
        <mc:Choice Requires="wps">
          <w:drawing>
            <wp:anchor distT="0" distB="0" distL="114298" distR="114298" simplePos="0" relativeHeight="18" behindDoc="0" locked="0" layoutInCell="1" hidden="0" allowOverlap="1">
              <wp:simplePos x="0" y="0"/>
              <wp:positionH relativeFrom="margin">
                <wp:align>center</wp:align>
              </wp:positionH>
              <wp:positionV relativeFrom="paragraph">
                <wp:posOffset>0</wp:posOffset>
              </wp:positionV>
              <wp:extent cx="128778" cy="155194"/>
              <wp:effectExtent l="0" t="0" r="0" b="0"/>
              <wp:wrapNone/>
              <wp:docPr id="4" name="文本框 3 6"/>
              <wp:cNvGraphicFramePr>
                <a:graphicFrameLocks noChangeAspect="0"/>
              </wp:cNvGraphicFramePr>
              <a:graphic>
                <a:graphicData uri="http://schemas.microsoft.com/office/word/2010/wordprocessingShape">
                  <wps:wsp>
                    <wps:cNvSpPr/>
                    <wps:spPr>
                      <a:xfrm rot="0">
                        <a:off x="0" y="0"/>
                        <a:ext cx="128778" cy="155194"/>
                      </a:xfrm>
                      <a:prstGeom prst="rect"/>
                      <a:noFill/>
                      <a:ln w="6350" cmpd="sng" cap="flat">
                        <a:noFill/>
                        <a:prstDash val="solid"/>
                        <a:round/>
                      </a:ln>
                    </wps:spPr>
                    <wps:txbx id="5">
                      <w:txbxContent>
                        <w:p>
                          <w:pPr>
                            <w:pStyle w:val="16"/>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27</w:t>
                          </w:r>
                          <w:r>
                            <w:rPr>
                              <w:sz w:val="20"/>
                              <w:szCs w:val="24"/>
                            </w:rPr>
                            <w:fldChar w:fldCharType="end"/>
                          </w:r>
                        </w:p>
                      </w:txbxContent>
                    </wps:txbx>
                    <wps:bodyPr vert="horz" wrap="none" lIns="0" tIns="0" rIns="0" bIns="0" anchor="t" anchorCtr="0" upright="1">
                      <a:spAutoFit/>
                    </wps:bodyPr>
                  </wps:wsp>
                </a:graphicData>
              </a:graphic>
            </wp:anchor>
          </w:drawing>
        </mc:Choice>
        <mc:Fallback>
          <w:pict>
            <v:shape type="#_x0000_t202" id="文本框 3 6 6" o:spid="_x0000_s6" filled="f" stroked="f" strokeweight="0.5pt" style="position:absolute;margin-left:0.0pt;margin-top:0.0pt;width:10.140006pt;height:12.220016pt;z-index:18;mso-position-horizontal:center;mso-position-horizontal-relative:margin;mso-position-vertical:absolute;mso-wrap-distance-left:8.999863pt;mso-wrap-distance-right:8.999863pt;mso-wrap-style:none;">
              <v:stroke color="#000000"/>
              <v:textbox id="852" inset="0mm,0mm,0mm,0mm" o:insetmode="custom" style="layout-flow:horizontal;v-text-anchor:top;mso-fit-shape-to-text:t;">
                <w:txbxContent>
                  <w:p>
                    <w:pPr>
                      <w:pStyle w:val="16"/>
                      <w:tabs>
                        <w:tab w:val="center" w:pos="4153"/>
                        <w:tab w:val="right" w:pos="8307"/>
                      </w:tabs>
                      <w:rPr>
                        <w:sz w:val="20"/>
                        <w:szCs w:val="24"/>
                      </w:rPr>
                    </w:pPr>
                    <w:r>
                      <w:rPr>
                        <w:sz w:val="20"/>
                        <w:szCs w:val="24"/>
                      </w:rPr>
                      <w:fldChar w:fldCharType="begin"/>
                    </w:r>
                    <w:r>
                      <w:rPr>
                        <w:sz w:val="20"/>
                        <w:szCs w:val="24"/>
                      </w:rPr>
                      <w:instrText xml:space="preserve"> PAGE  \* MERGEFORMAT </w:instrText>
                    </w:r>
                    <w:r>
                      <w:rPr>
                        <w:sz w:val="20"/>
                        <w:szCs w:val="24"/>
                      </w:rPr>
                      <w:fldChar w:fldCharType="separate"/>
                    </w:r>
                    <w:r>
                      <w:rPr>
                        <w:sz w:val="20"/>
                        <w:szCs w:val="24"/>
                      </w:rPr>
                      <w:t>27</w:t>
                    </w:r>
                    <w:r>
                      <w:rPr>
                        <w:sz w:val="20"/>
                        <w:szCs w:val="24"/>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NjgzMTdhNDA0ZGNiMmM4ZmMwMjQ4MjZlOTc3MmMwM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7"/>
      </w:tabs>
      <w:snapToGrid w:val="0"/>
      <w:jc w:val="left"/>
    </w:pPr>
    <w:rPr>
      <w:sz w:val="18"/>
    </w:rPr>
  </w:style>
  <w:style w:type="paragraph" w:styleId="17">
    <w:name w:val="header"/>
    <w:basedOn w:val="0"/>
    <w:pPr>
      <w:tabs>
        <w:tab w:val="center" w:pos="4153"/>
        <w:tab w:val="right" w:pos="8306"/>
      </w:tabs>
      <w:snapToGrid w:val="0"/>
    </w:pPr>
    <w:rPr>
      <w:sz w:val="18"/>
    </w:rPr>
  </w:style>
  <w:style w:type="character" w:styleId="18">
    <w:name w:val="page number"/>
    <w:basedOn w:val="10"/>
  </w:style>
  <w:style w:type="paragraph" w:customStyle="1" w:styleId="19">
    <w:name w:val="样式 4 10 磅"/>
    <w:basedOn w:val="0"/>
    <w:rPr>
      <w:rFonts w:ascii="Times New Roman" w:cs="Times New Roman" w:hAnsi="Times New Roman"/>
      <w:szCs w:val="21"/>
    </w:rPr>
  </w:style>
  <w:style w:type="paragraph" w:customStyle="1" w:styleId="20">
    <w:name w:val="样式 51 10 磅"/>
    <w:basedOn w:val="0"/>
    <w:rPr>
      <w:rFonts w:ascii="Times New Roman" w:cs="Times New Roman" w:hAnsi="Times New Roman"/>
      <w:szCs w:val="21"/>
    </w:rPr>
  </w:style>
  <w:style w:type="paragraph" w:customStyle="1" w:styleId="21">
    <w:name w:val="样式 36 10 磅"/>
    <w:basedOn w:val="0"/>
    <w:rPr>
      <w:rFonts w:ascii="Times New Roman" w:cs="Times New Roman" w:hAnsi="Times New Roman"/>
      <w:szCs w:val="21"/>
    </w:rPr>
  </w:style>
  <w:style w:type="paragraph" w:customStyle="1" w:styleId="22">
    <w:name w:val="样式 49 10 磅"/>
    <w:basedOn w:val="0"/>
    <w:rPr>
      <w:rFonts w:ascii="Times New Roman" w:cs="Times New Roman" w:hAnsi="Times New Roman"/>
      <w:szCs w:val="21"/>
    </w:rPr>
  </w:style>
  <w:style w:type="character" w:customStyle="1" w:styleId="23">
    <w:name w:val="font41"/>
    <w:basedOn w:val="10"/>
    <w:rPr>
      <w:rFonts w:ascii="宋体" w:eastAsia="宋体" w:cs="宋体"/>
      <w:color w:val="000000"/>
      <w:sz w:val="22"/>
      <w:szCs w:val="22"/>
      <w:u w:val="none"/>
    </w:rPr>
  </w:style>
  <w:style w:type="character" w:customStyle="1" w:styleId="24">
    <w:name w:val="font61"/>
    <w:basedOn w:val="10"/>
    <w:rPr>
      <w:rFonts w:ascii="宋体" w:eastAsia="宋体" w:cs="宋体"/>
      <w:color w:val="000000"/>
      <w:sz w:val="22"/>
      <w:szCs w:val="22"/>
      <w:u w:val="none"/>
    </w:rPr>
  </w:style>
  <w:style w:type="character" w:customStyle="1" w:styleId="25">
    <w:name w:val="font71"/>
    <w:basedOn w:val="10"/>
    <w:rPr>
      <w:rFonts w:ascii="Times New Roman" w:cs="Times New Roman" w:hAnsi="Times New Roman"/>
      <w:color w:val="000000"/>
      <w:sz w:val="22"/>
      <w:szCs w:val="22"/>
      <w:u w:val="none"/>
    </w:rPr>
  </w:style>
  <w:style w:type="character" w:customStyle="1" w:styleId="26">
    <w:name w:val="font51"/>
    <w:basedOn w:val="10"/>
    <w:rPr>
      <w:rFonts w:ascii="宋体" w:eastAsia="宋体" w:cs="宋体"/>
      <w:color w:val="000000"/>
      <w:sz w:val="22"/>
      <w:szCs w:val="22"/>
      <w:u w:val="none"/>
    </w:rPr>
  </w:style>
  <w:style w:type="character" w:customStyle="1" w:styleId="27">
    <w:name w:val="font01"/>
    <w:basedOn w:val="10"/>
    <w:rPr>
      <w:rFonts w:ascii="宋体" w:eastAsia="宋体" w:cs="宋体"/>
      <w:color w:val="000000"/>
      <w:sz w:val="22"/>
      <w:szCs w:val="22"/>
      <w:u w:val="none"/>
    </w:rPr>
  </w:style>
  <w:style w:type="paragraph" w:customStyle="1" w:styleId="28">
    <w:name w:val="样式 2 10 磅"/>
    <w:basedOn w:val="0"/>
    <w:rPr>
      <w:rFonts w:ascii="Times New Roman" w:cs="Times New Roman" w:hAnsi="Times New Roman"/>
      <w:szCs w:val="21"/>
    </w:rPr>
  </w:style>
  <w:style w:type="paragraph" w:customStyle="1" w:styleId="29">
    <w:name w:val="样式 1 10 磅"/>
    <w:basedOn w:val="0"/>
    <w:rPr>
      <w:rFonts w:ascii="Times New Roman" w:cs="Times New Roman" w:hAnsi="Times New Roman"/>
      <w:szCs w:val="21"/>
    </w:rPr>
  </w:style>
  <w:style w:type="paragraph" w:customStyle="1" w:styleId="30">
    <w:name w:val="Revision"/>
    <w:rPr>
      <w:rFonts w:ascii="Calibri" w:eastAsia="宋体" w:cs="Arial" w:hAnsi="Calibri"/>
      <w:kern w:val="2"/>
      <w:sz w:val="21"/>
      <w:szCs w:val="22"/>
      <w:lang w:val="en-US" w:eastAsia="zh-CN" w:bidi="ar-SA"/>
    </w:rPr>
  </w:style>
  <w:style w:type="paragraph" w:customStyle="1" w:styleId="31">
    <w:name w:val="样式 10 磅"/>
    <w:pPr>
      <w:widowControl w:val="0"/>
      <w:jc w:val="both"/>
    </w:pPr>
    <w:rPr>
      <w:rFonts w:ascii="Calibri" w:eastAsia="宋体" w:cs="Arial" w:hAnsi="Calibri"/>
      <w:kern w:val="2"/>
      <w:sz w:val="21"/>
      <w:szCs w:val="22"/>
      <w:lang w:val="en-US" w:eastAsia="zh-CN" w:bidi="ar-SA"/>
    </w:rPr>
  </w:style>
  <w:style w:type="paragraph" w:customStyle="1" w:styleId="32">
    <w:name w:val="样式 3 10 磅"/>
    <w:pPr>
      <w:widowControl w:val="0"/>
      <w:jc w:val="both"/>
    </w:pPr>
    <w:rPr>
      <w:rFonts w:ascii="Calibri" w:eastAsia="宋体" w:cs="Arial" w:hAnsi="Calibri"/>
      <w:kern w:val="2"/>
      <w:sz w:val="21"/>
      <w:szCs w:val="22"/>
      <w:lang w:val="en-US" w:eastAsia="zh-CN" w:bidi="ar-SA"/>
    </w:rPr>
  </w:style>
  <w:style w:type="paragraph" w:customStyle="1" w:styleId="33">
    <w:name w:val="样式 5 10 磅"/>
    <w:pPr>
      <w:widowControl w:val="0"/>
      <w:jc w:val="both"/>
    </w:pPr>
    <w:rPr>
      <w:rFonts w:ascii="Calibri" w:eastAsia="宋体" w:cs="Arial" w:hAnsi="Calibri"/>
      <w:kern w:val="2"/>
      <w:sz w:val="21"/>
      <w:szCs w:val="22"/>
      <w:lang w:val="en-US" w:eastAsia="zh-CN" w:bidi="ar-SA"/>
    </w:rPr>
  </w:style>
  <w:style w:type="paragraph" w:customStyle="1" w:styleId="34">
    <w:name w:val="样式 6 10 磅"/>
    <w:pPr>
      <w:widowControl w:val="0"/>
      <w:jc w:val="both"/>
    </w:pPr>
    <w:rPr>
      <w:rFonts w:ascii="Calibri" w:eastAsia="宋体" w:cs="Arial" w:hAnsi="Calibri"/>
      <w:kern w:val="2"/>
      <w:sz w:val="21"/>
      <w:szCs w:val="22"/>
      <w:lang w:val="en-US" w:eastAsia="zh-CN" w:bidi="ar-SA"/>
    </w:rPr>
  </w:style>
  <w:style w:type="paragraph" w:customStyle="1" w:styleId="35">
    <w:name w:val="样式 7 10 磅"/>
    <w:pPr>
      <w:widowControl w:val="0"/>
      <w:jc w:val="both"/>
    </w:pPr>
    <w:rPr>
      <w:rFonts w:ascii="Calibri" w:eastAsia="宋体" w:cs="Arial" w:hAnsi="Calibri"/>
      <w:kern w:val="2"/>
      <w:sz w:val="21"/>
      <w:szCs w:val="22"/>
      <w:lang w:val="en-US" w:eastAsia="zh-CN" w:bidi="ar-SA"/>
    </w:rPr>
  </w:style>
  <w:style w:type="paragraph" w:customStyle="1" w:styleId="36">
    <w:name w:val="样式 8 10 磅"/>
    <w:pPr>
      <w:widowControl w:val="0"/>
      <w:jc w:val="both"/>
    </w:pPr>
    <w:rPr>
      <w:rFonts w:ascii="Calibri" w:eastAsia="宋体" w:cs="Arial" w:hAnsi="Calibri"/>
      <w:kern w:val="2"/>
      <w:sz w:val="21"/>
      <w:szCs w:val="22"/>
      <w:lang w:val="en-US" w:eastAsia="zh-CN" w:bidi="ar-SA"/>
    </w:rPr>
  </w:style>
  <w:style w:type="paragraph" w:customStyle="1" w:styleId="37">
    <w:name w:val="样式 9 10 磅"/>
    <w:pPr>
      <w:widowControl w:val="0"/>
      <w:jc w:val="both"/>
    </w:pPr>
    <w:rPr>
      <w:rFonts w:ascii="Calibri" w:eastAsia="宋体" w:cs="Arial" w:hAnsi="Calibri"/>
      <w:kern w:val="2"/>
      <w:sz w:val="21"/>
      <w:szCs w:val="22"/>
      <w:lang w:val="en-US" w:eastAsia="zh-CN" w:bidi="ar-SA"/>
    </w:rPr>
  </w:style>
  <w:style w:type="paragraph" w:customStyle="1" w:styleId="38">
    <w:name w:val="样式 10 10 磅"/>
    <w:pPr>
      <w:widowControl w:val="0"/>
      <w:jc w:val="both"/>
    </w:pPr>
    <w:rPr>
      <w:rFonts w:ascii="Calibri" w:eastAsia="宋体" w:cs="Arial" w:hAnsi="Calibri"/>
      <w:kern w:val="2"/>
      <w:sz w:val="21"/>
      <w:szCs w:val="22"/>
      <w:lang w:val="en-US" w:eastAsia="zh-CN" w:bidi="ar-SA"/>
    </w:rPr>
  </w:style>
  <w:style w:type="paragraph" w:customStyle="1" w:styleId="39">
    <w:name w:val="样式 11 10 磅"/>
    <w:pPr>
      <w:widowControl w:val="0"/>
      <w:jc w:val="both"/>
    </w:pPr>
    <w:rPr>
      <w:rFonts w:ascii="Calibri" w:eastAsia="宋体" w:cs="Arial" w:hAnsi="Calibri"/>
      <w:kern w:val="2"/>
      <w:sz w:val="21"/>
      <w:szCs w:val="22"/>
      <w:lang w:val="en-US" w:eastAsia="zh-CN" w:bidi="ar-SA"/>
    </w:rPr>
  </w:style>
  <w:style w:type="paragraph" w:customStyle="1" w:styleId="40">
    <w:name w:val="样式 12 10 磅"/>
    <w:pPr>
      <w:widowControl w:val="0"/>
      <w:jc w:val="both"/>
    </w:pPr>
    <w:rPr>
      <w:rFonts w:ascii="Calibri" w:eastAsia="宋体" w:cs="Arial" w:hAnsi="Calibri"/>
      <w:kern w:val="2"/>
      <w:sz w:val="21"/>
      <w:szCs w:val="22"/>
      <w:lang w:val="en-US" w:eastAsia="zh-CN" w:bidi="ar-SA"/>
    </w:rPr>
  </w:style>
  <w:style w:type="paragraph" w:customStyle="1" w:styleId="41">
    <w:name w:val="样式 13 10 磅"/>
    <w:pPr>
      <w:widowControl w:val="0"/>
      <w:jc w:val="both"/>
    </w:pPr>
    <w:rPr>
      <w:rFonts w:ascii="Calibri" w:eastAsia="宋体" w:cs="Arial" w:hAnsi="Calibri"/>
      <w:kern w:val="2"/>
      <w:sz w:val="21"/>
      <w:szCs w:val="22"/>
      <w:lang w:val="en-US" w:eastAsia="zh-CN" w:bidi="ar-SA"/>
    </w:rPr>
  </w:style>
  <w:style w:type="paragraph" w:customStyle="1" w:styleId="42">
    <w:name w:val="样式 14 10 磅"/>
    <w:pPr>
      <w:widowControl w:val="0"/>
      <w:jc w:val="both"/>
    </w:pPr>
    <w:rPr>
      <w:rFonts w:ascii="Calibri" w:eastAsia="宋体" w:cs="Arial" w:hAnsi="Calibri"/>
      <w:kern w:val="2"/>
      <w:sz w:val="21"/>
      <w:szCs w:val="22"/>
      <w:lang w:val="en-US" w:eastAsia="zh-CN" w:bidi="ar-SA"/>
    </w:rPr>
  </w:style>
  <w:style w:type="paragraph" w:customStyle="1" w:styleId="43">
    <w:name w:val="样式 15 10 磅"/>
    <w:pPr>
      <w:widowControl w:val="0"/>
      <w:jc w:val="both"/>
    </w:pPr>
    <w:rPr>
      <w:rFonts w:ascii="Calibri" w:eastAsia="宋体" w:cs="Arial" w:hAnsi="Calibri"/>
      <w:kern w:val="2"/>
      <w:sz w:val="21"/>
      <w:szCs w:val="22"/>
      <w:lang w:val="en-US" w:eastAsia="zh-CN" w:bidi="ar-SA"/>
    </w:rPr>
  </w:style>
  <w:style w:type="paragraph" w:customStyle="1" w:styleId="44">
    <w:name w:val="样式 16 10 磅"/>
    <w:pPr>
      <w:widowControl w:val="0"/>
      <w:jc w:val="both"/>
    </w:pPr>
    <w:rPr>
      <w:rFonts w:ascii="Calibri" w:eastAsia="宋体" w:cs="Arial" w:hAnsi="Calibri"/>
      <w:kern w:val="2"/>
      <w:sz w:val="21"/>
      <w:szCs w:val="22"/>
      <w:lang w:val="en-US" w:eastAsia="zh-CN" w:bidi="ar-SA"/>
    </w:rPr>
  </w:style>
  <w:style w:type="paragraph" w:customStyle="1" w:styleId="45">
    <w:name w:val="样式 17 10 磅"/>
    <w:pPr>
      <w:widowControl w:val="0"/>
      <w:jc w:val="both"/>
    </w:pPr>
    <w:rPr>
      <w:rFonts w:ascii="Calibri" w:eastAsia="宋体" w:cs="Arial" w:hAnsi="Calibri"/>
      <w:kern w:val="2"/>
      <w:sz w:val="21"/>
      <w:szCs w:val="22"/>
      <w:lang w:val="en-US" w:eastAsia="zh-CN" w:bidi="ar-SA"/>
    </w:rPr>
  </w:style>
  <w:style w:type="paragraph" w:customStyle="1" w:styleId="46">
    <w:name w:val="样式 18 10 磅"/>
    <w:pPr>
      <w:widowControl w:val="0"/>
      <w:jc w:val="both"/>
    </w:pPr>
    <w:rPr>
      <w:rFonts w:ascii="Calibri" w:eastAsia="宋体" w:cs="Arial" w:hAnsi="Calibri"/>
      <w:kern w:val="2"/>
      <w:sz w:val="21"/>
      <w:szCs w:val="22"/>
      <w:lang w:val="en-US" w:eastAsia="zh-CN" w:bidi="ar-SA"/>
    </w:rPr>
  </w:style>
  <w:style w:type="paragraph" w:customStyle="1" w:styleId="47">
    <w:name w:val="样式 19 10 磅"/>
    <w:pPr>
      <w:widowControl w:val="0"/>
      <w:jc w:val="both"/>
    </w:pPr>
    <w:rPr>
      <w:rFonts w:ascii="Calibri" w:eastAsia="宋体" w:cs="Arial" w:hAnsi="Calibri"/>
      <w:kern w:val="2"/>
      <w:sz w:val="21"/>
      <w:szCs w:val="22"/>
      <w:lang w:val="en-US" w:eastAsia="zh-CN" w:bidi="ar-SA"/>
    </w:rPr>
  </w:style>
  <w:style w:type="paragraph" w:customStyle="1" w:styleId="48">
    <w:name w:val="样式 20 10 磅"/>
    <w:pPr>
      <w:widowControl w:val="0"/>
      <w:jc w:val="both"/>
    </w:pPr>
    <w:rPr>
      <w:rFonts w:ascii="Calibri" w:eastAsia="宋体" w:cs="Arial" w:hAnsi="Calibri"/>
      <w:kern w:val="2"/>
      <w:sz w:val="21"/>
      <w:szCs w:val="22"/>
      <w:lang w:val="en-US" w:eastAsia="zh-CN" w:bidi="ar-SA"/>
    </w:rPr>
  </w:style>
  <w:style w:type="paragraph" w:customStyle="1" w:styleId="49">
    <w:name w:val="样式 21 10 磅"/>
    <w:pPr>
      <w:widowControl w:val="0"/>
      <w:jc w:val="both"/>
    </w:pPr>
    <w:rPr>
      <w:rFonts w:ascii="Calibri" w:eastAsia="宋体" w:cs="Arial" w:hAnsi="Calibri"/>
      <w:kern w:val="2"/>
      <w:sz w:val="21"/>
      <w:szCs w:val="22"/>
      <w:lang w:val="en-US" w:eastAsia="zh-CN" w:bidi="ar-SA"/>
    </w:rPr>
  </w:style>
  <w:style w:type="paragraph" w:customStyle="1" w:styleId="50">
    <w:name w:val="样式 22 10 磅"/>
    <w:pPr>
      <w:widowControl w:val="0"/>
      <w:jc w:val="both"/>
    </w:pPr>
    <w:rPr>
      <w:rFonts w:ascii="Calibri" w:eastAsia="宋体" w:cs="Arial" w:hAnsi="Calibri"/>
      <w:kern w:val="2"/>
      <w:sz w:val="21"/>
      <w:szCs w:val="22"/>
      <w:lang w:val="en-US" w:eastAsia="zh-CN" w:bidi="ar-SA"/>
    </w:rPr>
  </w:style>
  <w:style w:type="paragraph" w:customStyle="1" w:styleId="51">
    <w:name w:val="样式 23 10 磅"/>
    <w:pPr>
      <w:widowControl w:val="0"/>
      <w:jc w:val="both"/>
    </w:pPr>
    <w:rPr>
      <w:rFonts w:ascii="Calibri" w:eastAsia="宋体" w:cs="Arial" w:hAnsi="Calibri"/>
      <w:kern w:val="2"/>
      <w:sz w:val="21"/>
      <w:szCs w:val="22"/>
      <w:lang w:val="en-US" w:eastAsia="zh-CN" w:bidi="ar-SA"/>
    </w:rPr>
  </w:style>
  <w:style w:type="paragraph" w:customStyle="1" w:styleId="52">
    <w:name w:val="样式 24 10 磅"/>
    <w:pPr>
      <w:widowControl w:val="0"/>
      <w:jc w:val="both"/>
    </w:pPr>
    <w:rPr>
      <w:rFonts w:ascii="Calibri" w:eastAsia="宋体" w:cs="Arial" w:hAnsi="Calibri"/>
      <w:kern w:val="2"/>
      <w:sz w:val="21"/>
      <w:szCs w:val="22"/>
      <w:lang w:val="en-US" w:eastAsia="zh-CN" w:bidi="ar-SA"/>
    </w:rPr>
  </w:style>
  <w:style w:type="paragraph" w:customStyle="1" w:styleId="53">
    <w:name w:val="样式 25 10 磅"/>
    <w:pPr>
      <w:widowControl w:val="0"/>
      <w:jc w:val="both"/>
    </w:pPr>
    <w:rPr>
      <w:rFonts w:ascii="Calibri" w:eastAsia="宋体" w:cs="Arial" w:hAnsi="Calibri"/>
      <w:kern w:val="2"/>
      <w:sz w:val="21"/>
      <w:szCs w:val="22"/>
      <w:lang w:val="en-US" w:eastAsia="zh-CN" w:bidi="ar-SA"/>
    </w:rPr>
  </w:style>
  <w:style w:type="paragraph" w:customStyle="1" w:styleId="54">
    <w:name w:val="样式 26 10 磅"/>
    <w:pPr>
      <w:widowControl w:val="0"/>
      <w:jc w:val="both"/>
    </w:pPr>
    <w:rPr>
      <w:rFonts w:ascii="Calibri" w:eastAsia="宋体" w:cs="Arial" w:hAnsi="Calibri"/>
      <w:kern w:val="2"/>
      <w:sz w:val="21"/>
      <w:szCs w:val="22"/>
      <w:lang w:val="en-US" w:eastAsia="zh-CN" w:bidi="ar-SA"/>
    </w:rPr>
  </w:style>
  <w:style w:type="paragraph" w:customStyle="1" w:styleId="55">
    <w:name w:val="样式 27 10 磅"/>
    <w:pPr>
      <w:widowControl w:val="0"/>
      <w:jc w:val="both"/>
    </w:pPr>
    <w:rPr>
      <w:rFonts w:ascii="Calibri" w:eastAsia="宋体" w:cs="Arial" w:hAnsi="Calibri"/>
      <w:kern w:val="2"/>
      <w:sz w:val="21"/>
      <w:szCs w:val="22"/>
      <w:lang w:val="en-US" w:eastAsia="zh-CN" w:bidi="ar-SA"/>
    </w:rPr>
  </w:style>
  <w:style w:type="paragraph" w:customStyle="1" w:styleId="56">
    <w:name w:val="样式 28 10 磅"/>
    <w:pPr>
      <w:widowControl w:val="0"/>
      <w:jc w:val="both"/>
    </w:pPr>
    <w:rPr>
      <w:rFonts w:ascii="Calibri" w:eastAsia="宋体" w:cs="Arial" w:hAnsi="Calibri"/>
      <w:kern w:val="2"/>
      <w:sz w:val="21"/>
      <w:szCs w:val="22"/>
      <w:lang w:val="en-US" w:eastAsia="zh-CN" w:bidi="ar-SA"/>
    </w:rPr>
  </w:style>
  <w:style w:type="paragraph" w:customStyle="1" w:styleId="57">
    <w:name w:val="样式 29 10 磅"/>
    <w:pPr>
      <w:widowControl w:val="0"/>
      <w:jc w:val="both"/>
    </w:pPr>
    <w:rPr>
      <w:rFonts w:ascii="Calibri" w:eastAsia="宋体" w:cs="Arial" w:hAnsi="Calibri"/>
      <w:kern w:val="2"/>
      <w:sz w:val="21"/>
      <w:szCs w:val="22"/>
      <w:lang w:val="en-US" w:eastAsia="zh-CN" w:bidi="ar-SA"/>
    </w:rPr>
  </w:style>
  <w:style w:type="paragraph" w:customStyle="1" w:styleId="58">
    <w:name w:val="样式 30 10 磅"/>
    <w:pPr>
      <w:widowControl w:val="0"/>
      <w:jc w:val="both"/>
    </w:pPr>
    <w:rPr>
      <w:rFonts w:ascii="Calibri" w:eastAsia="宋体" w:cs="Arial" w:hAnsi="Calibri"/>
      <w:kern w:val="2"/>
      <w:sz w:val="21"/>
      <w:szCs w:val="22"/>
      <w:lang w:val="en-US" w:eastAsia="zh-CN" w:bidi="ar-SA"/>
    </w:rPr>
  </w:style>
  <w:style w:type="paragraph" w:customStyle="1" w:styleId="59">
    <w:name w:val="样式 31 10 磅"/>
    <w:pPr>
      <w:widowControl w:val="0"/>
      <w:jc w:val="both"/>
    </w:pPr>
    <w:rPr>
      <w:rFonts w:ascii="Calibri" w:eastAsia="宋体" w:cs="Arial" w:hAnsi="Calibri"/>
      <w:kern w:val="2"/>
      <w:sz w:val="21"/>
      <w:szCs w:val="22"/>
      <w:lang w:val="en-US" w:eastAsia="zh-CN" w:bidi="ar-SA"/>
    </w:rPr>
  </w:style>
  <w:style w:type="paragraph" w:customStyle="1" w:styleId="60">
    <w:name w:val="样式 32 10 磅"/>
    <w:pPr>
      <w:widowControl w:val="0"/>
      <w:jc w:val="both"/>
    </w:pPr>
    <w:rPr>
      <w:rFonts w:ascii="Calibri" w:eastAsia="宋体" w:cs="Arial" w:hAnsi="Calibri"/>
      <w:kern w:val="2"/>
      <w:sz w:val="21"/>
      <w:szCs w:val="22"/>
      <w:lang w:val="en-US" w:eastAsia="zh-CN" w:bidi="ar-SA"/>
    </w:rPr>
  </w:style>
  <w:style w:type="paragraph" w:customStyle="1" w:styleId="61">
    <w:name w:val="样式 33 10 磅"/>
    <w:pPr>
      <w:widowControl w:val="0"/>
      <w:jc w:val="both"/>
    </w:pPr>
    <w:rPr>
      <w:rFonts w:ascii="Calibri" w:eastAsia="宋体" w:cs="Arial" w:hAnsi="Calibri"/>
      <w:kern w:val="2"/>
      <w:sz w:val="21"/>
      <w:szCs w:val="22"/>
      <w:lang w:val="en-US" w:eastAsia="zh-CN" w:bidi="ar-SA"/>
    </w:rPr>
  </w:style>
  <w:style w:type="paragraph" w:customStyle="1" w:styleId="62">
    <w:name w:val="样式 34 10 磅"/>
    <w:pPr>
      <w:widowControl w:val="0"/>
      <w:jc w:val="both"/>
    </w:pPr>
    <w:rPr>
      <w:rFonts w:ascii="Calibri" w:eastAsia="宋体" w:cs="Arial" w:hAnsi="Calibri"/>
      <w:kern w:val="2"/>
      <w:sz w:val="21"/>
      <w:szCs w:val="22"/>
      <w:lang w:val="en-US" w:eastAsia="zh-CN" w:bidi="ar-SA"/>
    </w:rPr>
  </w:style>
  <w:style w:type="paragraph" w:customStyle="1" w:styleId="63">
    <w:name w:val="样式 35 10 磅"/>
    <w:pPr>
      <w:widowControl w:val="0"/>
      <w:jc w:val="both"/>
    </w:pPr>
    <w:rPr>
      <w:rFonts w:ascii="Calibri" w:eastAsia="宋体" w:cs="Arial" w:hAnsi="Calibri"/>
      <w:kern w:val="2"/>
      <w:sz w:val="21"/>
      <w:szCs w:val="22"/>
      <w:lang w:val="en-US" w:eastAsia="zh-CN" w:bidi="ar-SA"/>
    </w:rPr>
  </w:style>
  <w:style w:type="paragraph" w:customStyle="1" w:styleId="64">
    <w:name w:val="样式 37 10 磅"/>
    <w:pPr>
      <w:widowControl w:val="0"/>
      <w:jc w:val="both"/>
    </w:pPr>
    <w:rPr>
      <w:rFonts w:ascii="Calibri" w:eastAsia="宋体" w:cs="Arial" w:hAnsi="Calibri"/>
      <w:kern w:val="2"/>
      <w:sz w:val="21"/>
      <w:szCs w:val="22"/>
      <w:lang w:val="en-US" w:eastAsia="zh-CN" w:bidi="ar-SA"/>
    </w:rPr>
  </w:style>
  <w:style w:type="paragraph" w:customStyle="1" w:styleId="65">
    <w:name w:val="样式 38 10 磅"/>
    <w:pPr>
      <w:widowControl w:val="0"/>
      <w:jc w:val="both"/>
    </w:pPr>
    <w:rPr>
      <w:rFonts w:ascii="Calibri" w:eastAsia="宋体" w:cs="Arial" w:hAnsi="Calibri"/>
      <w:kern w:val="2"/>
      <w:sz w:val="21"/>
      <w:szCs w:val="22"/>
      <w:lang w:val="en-US" w:eastAsia="zh-CN" w:bidi="ar-SA"/>
    </w:rPr>
  </w:style>
  <w:style w:type="paragraph" w:customStyle="1" w:styleId="66">
    <w:name w:val="样式 39 10 磅"/>
    <w:pPr>
      <w:widowControl w:val="0"/>
      <w:jc w:val="both"/>
    </w:pPr>
    <w:rPr>
      <w:rFonts w:ascii="Calibri" w:eastAsia="宋体" w:cs="Arial" w:hAnsi="Calibri"/>
      <w:kern w:val="2"/>
      <w:sz w:val="21"/>
      <w:szCs w:val="22"/>
      <w:lang w:val="en-US" w:eastAsia="zh-CN" w:bidi="ar-SA"/>
    </w:rPr>
  </w:style>
  <w:style w:type="paragraph" w:customStyle="1" w:styleId="67">
    <w:name w:val="样式 40 10 磅"/>
    <w:pPr>
      <w:widowControl w:val="0"/>
      <w:jc w:val="both"/>
    </w:pPr>
    <w:rPr>
      <w:rFonts w:ascii="Calibri" w:eastAsia="宋体" w:cs="Arial" w:hAnsi="Calibri"/>
      <w:kern w:val="2"/>
      <w:sz w:val="21"/>
      <w:szCs w:val="22"/>
      <w:lang w:val="en-US" w:eastAsia="zh-CN" w:bidi="ar-SA"/>
    </w:rPr>
  </w:style>
  <w:style w:type="paragraph" w:customStyle="1" w:styleId="68">
    <w:name w:val="样式 41 10 磅"/>
    <w:pPr>
      <w:widowControl w:val="0"/>
      <w:jc w:val="both"/>
    </w:pPr>
    <w:rPr>
      <w:rFonts w:ascii="Calibri" w:eastAsia="宋体" w:cs="Arial" w:hAnsi="Calibri"/>
      <w:kern w:val="2"/>
      <w:sz w:val="21"/>
      <w:szCs w:val="22"/>
      <w:lang w:val="en-US" w:eastAsia="zh-CN" w:bidi="ar-SA"/>
    </w:rPr>
  </w:style>
  <w:style w:type="paragraph" w:customStyle="1" w:styleId="69">
    <w:name w:val="样式 42 10 磅"/>
    <w:pPr>
      <w:widowControl w:val="0"/>
      <w:jc w:val="both"/>
    </w:pPr>
    <w:rPr>
      <w:rFonts w:ascii="Calibri" w:eastAsia="宋体" w:cs="Arial" w:hAnsi="Calibri"/>
      <w:kern w:val="2"/>
      <w:sz w:val="21"/>
      <w:szCs w:val="22"/>
      <w:lang w:val="en-US" w:eastAsia="zh-CN" w:bidi="ar-SA"/>
    </w:rPr>
  </w:style>
  <w:style w:type="paragraph" w:customStyle="1" w:styleId="70">
    <w:name w:val="样式 43 10 磅"/>
    <w:pPr>
      <w:widowControl w:val="0"/>
      <w:jc w:val="both"/>
    </w:pPr>
    <w:rPr>
      <w:rFonts w:ascii="Calibri" w:eastAsia="宋体" w:cs="Arial" w:hAnsi="Calibri"/>
      <w:kern w:val="2"/>
      <w:sz w:val="21"/>
      <w:szCs w:val="22"/>
      <w:lang w:val="en-US" w:eastAsia="zh-CN" w:bidi="ar-SA"/>
    </w:rPr>
  </w:style>
  <w:style w:type="paragraph" w:customStyle="1" w:styleId="71">
    <w:name w:val="样式 44 10 磅"/>
    <w:pPr>
      <w:widowControl w:val="0"/>
      <w:jc w:val="both"/>
    </w:pPr>
    <w:rPr>
      <w:rFonts w:ascii="Calibri" w:eastAsia="宋体" w:cs="Arial" w:hAnsi="Calibri"/>
      <w:kern w:val="2"/>
      <w:sz w:val="21"/>
      <w:szCs w:val="22"/>
      <w:lang w:val="en-US" w:eastAsia="zh-CN" w:bidi="ar-SA"/>
    </w:rPr>
  </w:style>
  <w:style w:type="paragraph" w:customStyle="1" w:styleId="72">
    <w:name w:val="样式 45 10 磅"/>
    <w:pPr>
      <w:widowControl w:val="0"/>
      <w:jc w:val="both"/>
    </w:pPr>
    <w:rPr>
      <w:rFonts w:ascii="Calibri" w:eastAsia="宋体" w:cs="Arial" w:hAnsi="Calibri"/>
      <w:kern w:val="2"/>
      <w:sz w:val="21"/>
      <w:szCs w:val="22"/>
      <w:lang w:val="en-US" w:eastAsia="zh-CN" w:bidi="ar-SA"/>
    </w:rPr>
  </w:style>
  <w:style w:type="paragraph" w:customStyle="1" w:styleId="73">
    <w:name w:val="样式 46 10 磅"/>
    <w:pPr>
      <w:widowControl w:val="0"/>
      <w:jc w:val="both"/>
    </w:pPr>
    <w:rPr>
      <w:rFonts w:ascii="Calibri" w:eastAsia="宋体" w:cs="Arial" w:hAnsi="Calibri"/>
      <w:kern w:val="2"/>
      <w:sz w:val="21"/>
      <w:szCs w:val="22"/>
      <w:lang w:val="en-US" w:eastAsia="zh-CN" w:bidi="ar-SA"/>
    </w:rPr>
  </w:style>
  <w:style w:type="paragraph" w:customStyle="1" w:styleId="74">
    <w:name w:val="样式 47 10 磅"/>
    <w:pPr>
      <w:widowControl w:val="0"/>
      <w:jc w:val="both"/>
    </w:pPr>
    <w:rPr>
      <w:rFonts w:ascii="Calibri" w:eastAsia="宋体" w:cs="Arial" w:hAnsi="Calibri"/>
      <w:kern w:val="2"/>
      <w:sz w:val="21"/>
      <w:szCs w:val="22"/>
      <w:lang w:val="en-US" w:eastAsia="zh-CN" w:bidi="ar-SA"/>
    </w:rPr>
  </w:style>
  <w:style w:type="paragraph" w:customStyle="1" w:styleId="75">
    <w:name w:val="样式 48 10 磅"/>
    <w:pPr>
      <w:widowControl w:val="0"/>
      <w:jc w:val="both"/>
    </w:pPr>
    <w:rPr>
      <w:rFonts w:ascii="Calibri" w:eastAsia="宋体" w:cs="Arial" w:hAnsi="Calibri"/>
      <w:kern w:val="2"/>
      <w:sz w:val="21"/>
      <w:szCs w:val="22"/>
      <w:lang w:val="en-US" w:eastAsia="zh-CN" w:bidi="ar-SA"/>
    </w:rPr>
  </w:style>
  <w:style w:type="paragraph" w:customStyle="1" w:styleId="76">
    <w:name w:val="样式 50 10 磅"/>
    <w:pPr>
      <w:widowControl w:val="0"/>
      <w:jc w:val="both"/>
    </w:pPr>
    <w:rPr>
      <w:rFonts w:ascii="Calibri" w:eastAsia="宋体" w:cs="Arial" w:hAnsi="Calibri"/>
      <w:kern w:val="2"/>
      <w:sz w:val="21"/>
      <w:szCs w:val="22"/>
      <w:lang w:val="en-US" w:eastAsia="zh-CN" w:bidi="ar-SA"/>
    </w:rPr>
  </w:style>
  <w:style w:type="paragraph" w:customStyle="1" w:styleId="77">
    <w:name w:val="样式 52 10 磅"/>
    <w:pPr>
      <w:widowControl w:val="0"/>
      <w:jc w:val="both"/>
    </w:pPr>
    <w:rPr>
      <w:rFonts w:ascii="Calibri" w:eastAsia="宋体" w:cs="Arial" w:hAnsi="Calibri"/>
      <w:kern w:val="2"/>
      <w:sz w:val="21"/>
      <w:szCs w:val="22"/>
      <w:lang w:val="en-US" w:eastAsia="zh-CN" w:bidi="ar-SA"/>
    </w:rPr>
  </w:style>
  <w:style w:type="paragraph" w:customStyle="1" w:styleId="78">
    <w:name w:val="样式 53 10 磅"/>
    <w:pPr>
      <w:widowControl w:val="0"/>
      <w:jc w:val="both"/>
    </w:pPr>
    <w:rPr>
      <w:rFonts w:ascii="Calibri" w:eastAsia="宋体" w:cs="Arial" w:hAnsi="Calibri"/>
      <w:kern w:val="2"/>
      <w:sz w:val="21"/>
      <w:szCs w:val="22"/>
      <w:lang w:val="en-US" w:eastAsia="zh-CN" w:bidi="ar-SA"/>
    </w:rPr>
  </w:style>
  <w:style w:type="paragraph" w:customStyle="1" w:styleId="79">
    <w:name w:val="样式 54 10 磅"/>
    <w:pPr>
      <w:widowControl w:val="0"/>
      <w:jc w:val="both"/>
    </w:pPr>
    <w:rPr>
      <w:rFonts w:ascii="Calibri" w:eastAsia="宋体" w:cs="Arial" w:hAnsi="Calibri"/>
      <w:kern w:val="2"/>
      <w:sz w:val="21"/>
      <w:szCs w:val="22"/>
      <w:lang w:val="en-US" w:eastAsia="zh-CN" w:bidi="ar-SA"/>
    </w:rPr>
  </w:style>
  <w:style w:type="paragraph" w:customStyle="1" w:styleId="80">
    <w:name w:val="样式 55 10 磅"/>
    <w:pPr>
      <w:widowControl w:val="0"/>
      <w:jc w:val="both"/>
    </w:pPr>
    <w:rPr>
      <w:rFonts w:ascii="Calibri" w:eastAsia="宋体" w:cs="Arial" w:hAnsi="Calibri"/>
      <w:kern w:val="2"/>
      <w:sz w:val="21"/>
      <w:szCs w:val="22"/>
      <w:lang w:val="en-US" w:eastAsia="zh-CN" w:bidi="ar-SA"/>
    </w:rPr>
  </w:style>
  <w:style w:type="paragraph" w:customStyle="1" w:styleId="81">
    <w:name w:val="样式 56 10 磅"/>
    <w:pPr>
      <w:widowControl w:val="0"/>
      <w:jc w:val="both"/>
    </w:pPr>
    <w:rPr>
      <w:rFonts w:ascii="Calibri" w:eastAsia="宋体" w:cs="Arial" w:hAnsi="Calibri"/>
      <w:kern w:val="2"/>
      <w:sz w:val="21"/>
      <w:szCs w:val="22"/>
      <w:lang w:val="en-US" w:eastAsia="zh-CN" w:bidi="ar-SA"/>
    </w:rPr>
  </w:style>
  <w:style w:type="paragraph" w:customStyle="1" w:styleId="82">
    <w:name w:val="样式 57 10 磅"/>
    <w:pPr>
      <w:widowControl w:val="0"/>
      <w:jc w:val="both"/>
    </w:pPr>
    <w:rPr>
      <w:rFonts w:ascii="Calibri" w:eastAsia="宋体" w:cs="Arial" w:hAnsi="Calibri"/>
      <w:kern w:val="2"/>
      <w:sz w:val="21"/>
      <w:szCs w:val="22"/>
      <w:lang w:val="en-US" w:eastAsia="zh-CN" w:bidi="ar-SA"/>
    </w:rPr>
  </w:style>
  <w:style w:type="paragraph" w:customStyle="1" w:styleId="83">
    <w:name w:val="样式 58 10 磅"/>
    <w:pPr>
      <w:widowControl w:val="0"/>
      <w:jc w:val="both"/>
    </w:pPr>
    <w:rPr>
      <w:rFonts w:ascii="Calibri" w:eastAsia="宋体" w:cs="Arial" w:hAnsi="Calibri"/>
      <w:kern w:val="2"/>
      <w:sz w:val="21"/>
      <w:szCs w:val="22"/>
      <w:lang w:val="en-US" w:eastAsia="zh-CN" w:bidi="ar-SA"/>
    </w:rPr>
  </w:style>
  <w:style w:type="paragraph" w:customStyle="1" w:styleId="84">
    <w:name w:val="样式 59 10 磅"/>
    <w:pPr>
      <w:widowControl w:val="0"/>
      <w:jc w:val="both"/>
    </w:pPr>
    <w:rPr>
      <w:rFonts w:ascii="Calibri" w:eastAsia="宋体" w:cs="Arial" w:hAnsi="Calibri"/>
      <w:kern w:val="2"/>
      <w:sz w:val="21"/>
      <w:szCs w:val="22"/>
      <w:lang w:val="en-US" w:eastAsia="zh-CN" w:bidi="ar-SA"/>
    </w:rPr>
  </w:style>
  <w:style w:type="paragraph" w:customStyle="1" w:styleId="85">
    <w:name w:val="样式 60 10 磅"/>
    <w:pPr>
      <w:widowControl w:val="0"/>
      <w:jc w:val="both"/>
    </w:pPr>
    <w:rPr>
      <w:rFonts w:ascii="Calibri" w:eastAsia="宋体" w:cs="Arial" w:hAnsi="Calibri"/>
      <w:kern w:val="2"/>
      <w:sz w:val="21"/>
      <w:szCs w:val="22"/>
      <w:lang w:val="en-US" w:eastAsia="zh-CN" w:bidi="ar-SA"/>
    </w:rPr>
  </w:style>
  <w:style w:type="paragraph" w:customStyle="1" w:styleId="86">
    <w:name w:val="样式 61 10 磅"/>
    <w:pPr>
      <w:widowControl w:val="0"/>
      <w:jc w:val="both"/>
    </w:pPr>
    <w:rPr>
      <w:rFonts w:ascii="Calibri" w:eastAsia="宋体" w:cs="Arial" w:hAnsi="Calibri"/>
      <w:kern w:val="2"/>
      <w:sz w:val="21"/>
      <w:szCs w:val="22"/>
      <w:lang w:val="en-US" w:eastAsia="zh-CN" w:bidi="ar-SA"/>
    </w:rPr>
  </w:style>
  <w:style w:type="paragraph" w:customStyle="1" w:styleId="87">
    <w:name w:val="样式 62 10 磅"/>
    <w:pPr>
      <w:widowControl w:val="0"/>
      <w:jc w:val="both"/>
    </w:pPr>
    <w:rPr>
      <w:rFonts w:ascii="Calibri" w:eastAsia="宋体" w:cs="Arial" w:hAnsi="Calibri"/>
      <w:kern w:val="2"/>
      <w:sz w:val="21"/>
      <w:szCs w:val="22"/>
      <w:lang w:val="en-US" w:eastAsia="zh-CN" w:bidi="ar-SA"/>
    </w:rPr>
  </w:style>
  <w:style w:type="paragraph" w:customStyle="1" w:styleId="88">
    <w:name w:val="样式 63 10 磅"/>
    <w:pPr>
      <w:widowControl w:val="0"/>
      <w:jc w:val="both"/>
    </w:pPr>
    <w:rPr>
      <w:rFonts w:ascii="Calibri" w:eastAsia="宋体" w:cs="Arial" w:hAnsi="Calibri"/>
      <w:kern w:val="2"/>
      <w:sz w:val="21"/>
      <w:szCs w:val="22"/>
      <w:lang w:val="en-US" w:eastAsia="zh-CN" w:bidi="ar-SA"/>
    </w:rPr>
  </w:style>
  <w:style w:type="paragraph" w:customStyle="1" w:styleId="89">
    <w:name w:val="样式 64 10 磅"/>
    <w:pPr>
      <w:widowControl w:val="0"/>
      <w:jc w:val="both"/>
    </w:pPr>
    <w:rPr>
      <w:rFonts w:ascii="Calibri" w:eastAsia="宋体" w:cs="Arial" w:hAnsi="Calibri"/>
      <w:kern w:val="2"/>
      <w:sz w:val="21"/>
      <w:szCs w:val="22"/>
      <w:lang w:val="en-US" w:eastAsia="zh-CN" w:bidi="ar-SA"/>
    </w:rPr>
  </w:style>
  <w:style w:type="paragraph" w:customStyle="1" w:styleId="90">
    <w:name w:val="样式 65 10 磅"/>
    <w:pPr>
      <w:widowControl w:val="0"/>
      <w:jc w:val="both"/>
    </w:pPr>
    <w:rPr>
      <w:rFonts w:ascii="Calibri" w:eastAsia="宋体" w:cs="Arial" w:hAnsi="Calibri"/>
      <w:kern w:val="2"/>
      <w:sz w:val="21"/>
      <w:szCs w:val="22"/>
      <w:lang w:val="en-US" w:eastAsia="zh-CN" w:bidi="ar-SA"/>
    </w:rPr>
  </w:style>
  <w:style w:type="paragraph" w:customStyle="1" w:styleId="91">
    <w:name w:val="样式 66 10 磅"/>
    <w:pPr>
      <w:widowControl w:val="0"/>
      <w:jc w:val="both"/>
    </w:pPr>
    <w:rPr>
      <w:rFonts w:ascii="Calibri" w:eastAsia="宋体" w:cs="Arial" w:hAnsi="Calibri"/>
      <w:kern w:val="2"/>
      <w:sz w:val="21"/>
      <w:szCs w:val="22"/>
      <w:lang w:val="en-US" w:eastAsia="zh-CN" w:bidi="ar-SA"/>
    </w:rPr>
  </w:style>
  <w:style w:type="paragraph" w:customStyle="1" w:styleId="92">
    <w:name w:val="样式 67 10 磅"/>
    <w:pPr>
      <w:widowControl w:val="0"/>
      <w:jc w:val="both"/>
    </w:pPr>
    <w:rPr>
      <w:rFonts w:ascii="Calibri" w:eastAsia="宋体" w:cs="Arial" w:hAnsi="Calibri"/>
      <w:kern w:val="2"/>
      <w:sz w:val="21"/>
      <w:szCs w:val="22"/>
      <w:lang w:val="en-US" w:eastAsia="zh-CN" w:bidi="ar-SA"/>
    </w:rPr>
  </w:style>
  <w:style w:type="paragraph" w:customStyle="1" w:styleId="93">
    <w:name w:val="样式 68 10 磅"/>
    <w:pPr>
      <w:widowControl w:val="0"/>
      <w:jc w:val="both"/>
    </w:pPr>
    <w:rPr>
      <w:rFonts w:ascii="Calibri" w:eastAsia="宋体" w:cs="Arial" w:hAnsi="Calibri"/>
      <w:kern w:val="2"/>
      <w:sz w:val="21"/>
      <w:szCs w:val="22"/>
      <w:lang w:val="en-US" w:eastAsia="zh-CN" w:bidi="ar-SA"/>
    </w:rPr>
  </w:style>
  <w:style w:type="paragraph" w:customStyle="1" w:styleId="94">
    <w:name w:val="样式 69 10 磅"/>
    <w:pPr>
      <w:widowControl w:val="0"/>
      <w:jc w:val="both"/>
    </w:pPr>
    <w:rPr>
      <w:rFonts w:ascii="Calibri" w:eastAsia="宋体" w:cs="Arial" w:hAnsi="Calibri"/>
      <w:kern w:val="2"/>
      <w:sz w:val="21"/>
      <w:szCs w:val="22"/>
      <w:lang w:val="en-US" w:eastAsia="zh-CN" w:bidi="ar-SA"/>
    </w:rPr>
  </w:style>
  <w:style w:type="paragraph" w:customStyle="1" w:styleId="95">
    <w:name w:val="样式 70 10 磅"/>
    <w:pPr>
      <w:widowControl w:val="0"/>
      <w:jc w:val="both"/>
    </w:pPr>
    <w:rPr>
      <w:rFonts w:ascii="Calibri" w:eastAsia="宋体" w:cs="Arial" w:hAnsi="Calibri"/>
      <w:kern w:val="2"/>
      <w:sz w:val="21"/>
      <w:szCs w:val="22"/>
      <w:lang w:val="en-US" w:eastAsia="zh-CN" w:bidi="ar-SA"/>
    </w:rPr>
  </w:style>
  <w:style w:type="paragraph" w:customStyle="1" w:styleId="96">
    <w:name w:val="样式 71 10 磅"/>
    <w:pPr>
      <w:widowControl w:val="0"/>
      <w:jc w:val="both"/>
    </w:pPr>
    <w:rPr>
      <w:rFonts w:ascii="Calibri" w:eastAsia="宋体" w:cs="Arial" w:hAnsi="Calibri"/>
      <w:kern w:val="2"/>
      <w:sz w:val="21"/>
      <w:szCs w:val="22"/>
      <w:lang w:val="en-US" w:eastAsia="zh-CN" w:bidi="ar-SA"/>
    </w:rPr>
  </w:style>
  <w:style w:type="paragraph" w:customStyle="1" w:styleId="97">
    <w:name w:val="样式 72 10 磅"/>
    <w:pPr>
      <w:widowControl w:val="0"/>
      <w:jc w:val="both"/>
    </w:pPr>
    <w:rPr>
      <w:rFonts w:ascii="Calibri" w:eastAsia="宋体" w:cs="Arial" w:hAnsi="Calibri"/>
      <w:kern w:val="2"/>
      <w:sz w:val="21"/>
      <w:szCs w:val="22"/>
      <w:lang w:val="en-US" w:eastAsia="zh-CN" w:bidi="ar-SA"/>
    </w:rPr>
  </w:style>
  <w:style w:type="paragraph" w:customStyle="1" w:styleId="98">
    <w:name w:val="样式 73 10 磅"/>
    <w:pPr>
      <w:widowControl w:val="0"/>
      <w:jc w:val="both"/>
    </w:pPr>
    <w:rPr>
      <w:rFonts w:ascii="Calibri" w:eastAsia="宋体" w:cs="Arial" w:hAnsi="Calibri"/>
      <w:kern w:val="2"/>
      <w:sz w:val="21"/>
      <w:szCs w:val="22"/>
      <w:lang w:val="en-US" w:eastAsia="zh-CN" w:bidi="ar-SA"/>
    </w:rPr>
  </w:style>
  <w:style w:type="paragraph" w:customStyle="1" w:styleId="99">
    <w:name w:val="样式 74 10 磅"/>
    <w:pPr>
      <w:widowControl w:val="0"/>
      <w:jc w:val="both"/>
    </w:pPr>
    <w:rPr>
      <w:rFonts w:ascii="Calibri" w:eastAsia="宋体" w:cs="Arial" w:hAnsi="Calibri"/>
      <w:kern w:val="2"/>
      <w:sz w:val="21"/>
      <w:szCs w:val="22"/>
      <w:lang w:val="en-US" w:eastAsia="zh-CN" w:bidi="ar-SA"/>
    </w:rPr>
  </w:style>
  <w:style w:type="paragraph" w:customStyle="1" w:styleId="100">
    <w:name w:val="样式 75 10 磅"/>
    <w:pPr>
      <w:widowControl w:val="0"/>
      <w:jc w:val="both"/>
    </w:pPr>
    <w:rPr>
      <w:rFonts w:ascii="Calibri" w:eastAsia="宋体" w:cs="Arial" w:hAnsi="Calibri"/>
      <w:kern w:val="2"/>
      <w:sz w:val="21"/>
      <w:szCs w:val="22"/>
      <w:lang w:val="en-US" w:eastAsia="zh-CN" w:bidi="ar-SA"/>
    </w:rPr>
  </w:style>
  <w:style w:type="paragraph" w:customStyle="1" w:styleId="101">
    <w:name w:val="样式 76 10 磅"/>
    <w:pPr>
      <w:widowControl w:val="0"/>
      <w:jc w:val="both"/>
    </w:pPr>
    <w:rPr>
      <w:rFonts w:ascii="Calibri" w:eastAsia="宋体" w:cs="Arial" w:hAnsi="Calibri"/>
      <w:kern w:val="2"/>
      <w:sz w:val="21"/>
      <w:szCs w:val="22"/>
      <w:lang w:val="en-US" w:eastAsia="zh-CN" w:bidi="ar-SA"/>
    </w:rPr>
  </w:style>
  <w:style w:type="paragraph" w:customStyle="1" w:styleId="102">
    <w:name w:val="样式 77 10 磅"/>
    <w:pPr>
      <w:widowControl w:val="0"/>
      <w:jc w:val="both"/>
    </w:pPr>
    <w:rPr>
      <w:rFonts w:ascii="Calibri" w:eastAsia="宋体" w:cs="Arial" w:hAnsi="Calibri"/>
      <w:kern w:val="2"/>
      <w:sz w:val="21"/>
      <w:szCs w:val="22"/>
      <w:lang w:val="en-US" w:eastAsia="zh-CN" w:bidi="ar-SA"/>
    </w:rPr>
  </w:style>
  <w:style w:type="paragraph" w:customStyle="1" w:styleId="103">
    <w:name w:val="样式 78 10 磅"/>
    <w:pPr>
      <w:widowControl w:val="0"/>
      <w:jc w:val="both"/>
    </w:pPr>
    <w:rPr>
      <w:rFonts w:ascii="Calibri" w:eastAsia="宋体" w:cs="Arial" w:hAnsi="Calibri"/>
      <w:kern w:val="2"/>
      <w:sz w:val="21"/>
      <w:szCs w:val="22"/>
      <w:lang w:val="en-US" w:eastAsia="zh-CN" w:bidi="ar-SA"/>
    </w:rPr>
  </w:style>
  <w:style w:type="paragraph" w:customStyle="1" w:styleId="104">
    <w:name w:val="样式 79 10 磅"/>
    <w:pPr>
      <w:widowControl w:val="0"/>
      <w:jc w:val="both"/>
    </w:pPr>
    <w:rPr>
      <w:rFonts w:ascii="Calibri" w:eastAsia="宋体" w:cs="Arial" w:hAnsi="Calibri"/>
      <w:kern w:val="2"/>
      <w:sz w:val="21"/>
      <w:szCs w:val="22"/>
      <w:lang w:val="en-US" w:eastAsia="zh-CN" w:bidi="ar-SA"/>
    </w:rPr>
  </w:style>
  <w:style w:type="paragraph" w:customStyle="1" w:styleId="105">
    <w:name w:val="样式 80 10 磅"/>
    <w:pPr>
      <w:widowControl w:val="0"/>
      <w:jc w:val="both"/>
    </w:pPr>
    <w:rPr>
      <w:rFonts w:ascii="Calibri" w:eastAsia="宋体" w:cs="Arial" w:hAnsi="Calibri"/>
      <w:kern w:val="2"/>
      <w:sz w:val="21"/>
      <w:szCs w:val="22"/>
      <w:lang w:val="en-US" w:eastAsia="zh-CN" w:bidi="ar-SA"/>
    </w:rPr>
  </w:style>
  <w:style w:type="paragraph" w:customStyle="1" w:styleId="106">
    <w:name w:val="样式 81 10 磅"/>
    <w:pPr>
      <w:widowControl w:val="0"/>
      <w:jc w:val="both"/>
    </w:pPr>
    <w:rPr>
      <w:rFonts w:ascii="Calibri" w:eastAsia="宋体" w:cs="Arial" w:hAnsi="Calibri"/>
      <w:kern w:val="2"/>
      <w:sz w:val="21"/>
      <w:szCs w:val="22"/>
      <w:lang w:val="en-US" w:eastAsia="zh-CN" w:bidi="ar-SA"/>
    </w:rPr>
  </w:style>
  <w:style w:type="paragraph" w:customStyle="1" w:styleId="107">
    <w:name w:val="样式 82 10 磅"/>
    <w:pPr>
      <w:widowControl w:val="0"/>
      <w:jc w:val="both"/>
    </w:pPr>
    <w:rPr>
      <w:rFonts w:ascii="Calibri" w:eastAsia="宋体" w:cs="Arial" w:hAnsi="Calibri"/>
      <w:kern w:val="2"/>
      <w:sz w:val="21"/>
      <w:szCs w:val="22"/>
      <w:lang w:val="en-US" w:eastAsia="zh-CN" w:bidi="ar-SA"/>
    </w:rPr>
  </w:style>
  <w:style w:type="paragraph" w:customStyle="1" w:styleId="108">
    <w:name w:val="样式 83 10 磅"/>
    <w:pPr>
      <w:widowControl w:val="0"/>
      <w:jc w:val="both"/>
    </w:pPr>
    <w:rPr>
      <w:rFonts w:ascii="Calibri" w:eastAsia="宋体" w:cs="Arial" w:hAnsi="Calibri"/>
      <w:kern w:val="2"/>
      <w:sz w:val="21"/>
      <w:szCs w:val="22"/>
      <w:lang w:val="en-US" w:eastAsia="zh-CN" w:bidi="ar-SA"/>
    </w:rPr>
  </w:style>
  <w:style w:type="paragraph" w:customStyle="1" w:styleId="109">
    <w:name w:val="样式 84 10 磅"/>
    <w:pPr>
      <w:widowControl w:val="0"/>
      <w:jc w:val="both"/>
    </w:pPr>
    <w:rPr>
      <w:rFonts w:ascii="Calibri" w:eastAsia="宋体" w:cs="Arial" w:hAnsi="Calibri"/>
      <w:kern w:val="2"/>
      <w:sz w:val="21"/>
      <w:szCs w:val="22"/>
      <w:lang w:val="en-US" w:eastAsia="zh-CN" w:bidi="ar-SA"/>
    </w:rPr>
  </w:style>
  <w:style w:type="paragraph" w:customStyle="1" w:styleId="110">
    <w:name w:val="样式 85 10 磅"/>
    <w:pPr>
      <w:widowControl w:val="0"/>
      <w:jc w:val="both"/>
    </w:pPr>
    <w:rPr>
      <w:rFonts w:ascii="Calibri" w:eastAsia="宋体" w:cs="Arial" w:hAnsi="Calibri"/>
      <w:kern w:val="2"/>
      <w:sz w:val="21"/>
      <w:szCs w:val="22"/>
      <w:lang w:val="en-US" w:eastAsia="zh-CN" w:bidi="ar-SA"/>
    </w:rPr>
  </w:style>
  <w:style w:type="paragraph" w:customStyle="1" w:styleId="111">
    <w:name w:val="样式 86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jpeg"/><Relationship Id="rId3" Type="http://schemas.openxmlformats.org/officeDocument/2006/relationships/footer" Target="footer1.xml"/><Relationship Id="rId4" Type="http://schemas.openxmlformats.org/officeDocument/2006/relationships/image" Target="media/8.png"/><Relationship Id="rId5" Type="http://schemas.openxmlformats.org/officeDocument/2006/relationships/oleObject" Target="embeddings/oleObject1.bin"/><Relationship Id="rId6" Type="http://schemas.openxmlformats.org/officeDocument/2006/relationships/image" Target="media/10.png"/><Relationship Id="rId7" Type="http://schemas.openxmlformats.org/officeDocument/2006/relationships/oleObject" Target="embeddings/oleObject2.bin"/><Relationship Id="rId8" Type="http://schemas.openxmlformats.org/officeDocument/2006/relationships/image" Target="media/12.png"/><Relationship Id="rId9" Type="http://schemas.openxmlformats.org/officeDocument/2006/relationships/oleObject" Target="embeddings/oleObject3.bin"/><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70</TotalTime>
  <Application>Yozo_Office</Application>
  <Pages>33</Pages>
  <Words>8139</Words>
  <Characters>10112</Characters>
  <Lines>1718</Lines>
  <Paragraphs>792</Paragraphs>
  <CharactersWithSpaces>10429</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满洲里海关总值班室</cp:lastModifiedBy>
  <cp:revision>106</cp:revision>
  <dcterms:created xsi:type="dcterms:W3CDTF">2023-03-22T17:35:00Z</dcterms:created>
  <dcterms:modified xsi:type="dcterms:W3CDTF">2025-08-19T07:47:02Z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2052-11.1.0.11711</vt:lpwstr>
  </property>
  <property fmtid="{D5CDD505-2E9C-101B-9397-08002B2CF9AE}" pid="3" name="ICV">
    <vt:lpwstr>BE47413B14F442F1AA50C9C53BA1AD73_13</vt:lpwstr>
  </property>
</Properties>
</file>